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69EDB3" w14:textId="77777777" w:rsidR="006F1BEF" w:rsidRPr="00AA3758" w:rsidRDefault="006F1BEF" w:rsidP="00D9193B">
      <w:pPr>
        <w:pStyle w:val="Nzov"/>
        <w:rPr>
          <w:sz w:val="28"/>
        </w:rPr>
      </w:pPr>
      <w:bookmarkStart w:id="0" w:name="_GoBack"/>
      <w:bookmarkEnd w:id="0"/>
      <w:r w:rsidRPr="00AA3758">
        <w:t>RIEŠENIE PROTIPOŽIARNEJ BEZPEČNOSTI STAVBY</w:t>
      </w:r>
    </w:p>
    <w:p w14:paraId="6ED09F47" w14:textId="77777777" w:rsidR="006F1BEF" w:rsidRPr="00AA3758" w:rsidRDefault="006F1BEF" w:rsidP="00C80BEC">
      <w:pPr>
        <w:spacing w:line="276" w:lineRule="auto"/>
        <w:ind w:firstLine="708"/>
        <w:jc w:val="both"/>
        <w:rPr>
          <w:rFonts w:ascii="Arial Narrow" w:hAnsi="Arial Narrow"/>
          <w:sz w:val="20"/>
        </w:rPr>
      </w:pPr>
      <w:r w:rsidRPr="00AA3758">
        <w:rPr>
          <w:rFonts w:ascii="Arial Narrow" w:hAnsi="Arial Narrow"/>
          <w:sz w:val="20"/>
        </w:rPr>
        <w:t xml:space="preserve">V zmysle § 9 a § 11 zákona NR SR č. 314/2001 Z. z. o ochrane pred požiarmi v znení neskorších predpisov, ako aj § 40 vykonávacej vyhlášky MV SR č. 121/2002 Z. z. o požiarnej prevencii v znení neskorších predpisov, sa vypracováva a posudzuje riešenie ochrany stavby pred požiarmi. Posúdenie protipožiarnej bezpečnosti stavby je vykonané podľa platných predpisov a STN, a to hlavne vyhl. MV SR č. 94/2004 Z. z. ktorou sa ustanovujú požiadavky na protipožiarnu bezpečnosť pri výstavbe a užívaní stavby, STN 92 0201- 1 až 4, STN 92 0241 atď.  a ich príslušných zmien. </w:t>
      </w:r>
    </w:p>
    <w:p w14:paraId="547B49EC" w14:textId="77777777" w:rsidR="006F1BEF" w:rsidRPr="00AA3758" w:rsidRDefault="006F1BEF" w:rsidP="00C80BEC">
      <w:pPr>
        <w:spacing w:before="240" w:after="60" w:line="276" w:lineRule="auto"/>
        <w:jc w:val="both"/>
        <w:rPr>
          <w:rFonts w:ascii="Arial Narrow" w:hAnsi="Arial Narrow" w:cstheme="minorHAnsi"/>
          <w:b/>
          <w:i/>
          <w:sz w:val="20"/>
          <w:szCs w:val="20"/>
        </w:rPr>
      </w:pPr>
      <w:r w:rsidRPr="00AA3758">
        <w:rPr>
          <w:rFonts w:ascii="Arial Narrow" w:hAnsi="Arial Narrow" w:cstheme="minorHAnsi"/>
          <w:b/>
          <w:i/>
          <w:sz w:val="20"/>
          <w:szCs w:val="20"/>
        </w:rPr>
        <w:t>Spracovateľ a zodpovedný projektant:</w:t>
      </w:r>
    </w:p>
    <w:p w14:paraId="18CFC891" w14:textId="77777777" w:rsidR="006F1BEF" w:rsidRPr="00AA3758" w:rsidRDefault="006F1BEF" w:rsidP="00C80BEC">
      <w:pPr>
        <w:spacing w:after="0" w:line="276" w:lineRule="auto"/>
        <w:jc w:val="both"/>
        <w:rPr>
          <w:rFonts w:ascii="Arial Narrow" w:hAnsi="Arial Narrow"/>
          <w:sz w:val="20"/>
        </w:rPr>
      </w:pPr>
      <w:r w:rsidRPr="00AA3758">
        <w:rPr>
          <w:rFonts w:ascii="Arial Narrow" w:hAnsi="Arial Narrow"/>
          <w:sz w:val="20"/>
        </w:rPr>
        <w:t>Ing. Boris Binek, PhD. - špecialista požiarnej ochrany,</w:t>
      </w:r>
    </w:p>
    <w:p w14:paraId="764E1061" w14:textId="3EA80A28" w:rsidR="006F1BEF" w:rsidRPr="00AA3758" w:rsidRDefault="0037445A" w:rsidP="00C80BEC">
      <w:pPr>
        <w:spacing w:after="0" w:line="276" w:lineRule="auto"/>
        <w:jc w:val="both"/>
        <w:rPr>
          <w:rFonts w:ascii="Arial Narrow" w:hAnsi="Arial Narrow"/>
          <w:sz w:val="20"/>
        </w:rPr>
      </w:pPr>
      <w:r>
        <w:rPr>
          <w:rFonts w:ascii="Arial Narrow" w:hAnsi="Arial Narrow"/>
          <w:sz w:val="20"/>
        </w:rPr>
        <w:t>Vlková 428, 059 72 Vlková</w:t>
      </w:r>
    </w:p>
    <w:p w14:paraId="2BD751CD" w14:textId="77777777" w:rsidR="006F1BEF" w:rsidRPr="00AA3758" w:rsidRDefault="006F1BEF" w:rsidP="00C80BEC">
      <w:pPr>
        <w:spacing w:after="0" w:line="276" w:lineRule="auto"/>
        <w:jc w:val="both"/>
        <w:rPr>
          <w:rFonts w:ascii="Arial Narrow" w:hAnsi="Arial Narrow"/>
          <w:sz w:val="20"/>
        </w:rPr>
      </w:pPr>
      <w:r w:rsidRPr="00AA3758">
        <w:rPr>
          <w:rFonts w:ascii="Arial Narrow" w:hAnsi="Arial Narrow"/>
          <w:sz w:val="20"/>
        </w:rPr>
        <w:t>IČO: 43 605 338; DIČ: 107 842 8043</w:t>
      </w:r>
    </w:p>
    <w:p w14:paraId="7E69E2FC" w14:textId="77777777" w:rsidR="006F1BEF" w:rsidRPr="00AA3758" w:rsidRDefault="006F1BEF" w:rsidP="00C80BEC">
      <w:pPr>
        <w:spacing w:after="0" w:line="276" w:lineRule="auto"/>
        <w:jc w:val="both"/>
        <w:rPr>
          <w:rFonts w:ascii="Arial Narrow" w:hAnsi="Arial Narrow"/>
          <w:sz w:val="20"/>
        </w:rPr>
      </w:pPr>
      <w:r w:rsidRPr="00AA3758">
        <w:rPr>
          <w:rFonts w:ascii="Arial Narrow" w:hAnsi="Arial Narrow"/>
          <w:sz w:val="20"/>
        </w:rPr>
        <w:t>Tel. č.: 0910 477 753; info@pbsprojekty.sk;  www.pbsprojekty.sk</w:t>
      </w:r>
    </w:p>
    <w:p w14:paraId="3F35E29F" w14:textId="77777777" w:rsidR="006F1BEF" w:rsidRPr="00AA3758" w:rsidRDefault="006F1BEF" w:rsidP="00C80BEC">
      <w:pPr>
        <w:spacing w:before="240" w:after="60" w:line="276" w:lineRule="auto"/>
        <w:jc w:val="both"/>
        <w:rPr>
          <w:rFonts w:ascii="Arial Narrow" w:hAnsi="Arial Narrow" w:cstheme="minorHAnsi"/>
          <w:b/>
          <w:i/>
          <w:sz w:val="20"/>
          <w:szCs w:val="20"/>
        </w:rPr>
      </w:pPr>
      <w:r w:rsidRPr="00AA3758">
        <w:rPr>
          <w:rFonts w:ascii="Arial Narrow" w:hAnsi="Arial Narrow" w:cstheme="minorHAnsi"/>
          <w:b/>
          <w:i/>
          <w:sz w:val="20"/>
          <w:szCs w:val="20"/>
        </w:rPr>
        <w:t>Identifikačné  údaje:</w:t>
      </w:r>
    </w:p>
    <w:p w14:paraId="1143B805" w14:textId="6CEA9058" w:rsidR="006F1BEF" w:rsidRPr="00AA3758" w:rsidRDefault="006F1BEF" w:rsidP="00C80BEC">
      <w:pPr>
        <w:spacing w:after="0" w:line="276" w:lineRule="auto"/>
        <w:ind w:left="2124" w:hanging="2124"/>
        <w:jc w:val="both"/>
        <w:rPr>
          <w:rFonts w:ascii="Arial Narrow" w:hAnsi="Arial Narrow"/>
          <w:sz w:val="20"/>
        </w:rPr>
      </w:pPr>
      <w:r w:rsidRPr="00AA3758">
        <w:rPr>
          <w:rFonts w:ascii="Arial Narrow" w:hAnsi="Arial Narrow"/>
          <w:sz w:val="20"/>
        </w:rPr>
        <w:t xml:space="preserve">Názov stavby: </w:t>
      </w:r>
      <w:r w:rsidRPr="00AA3758">
        <w:rPr>
          <w:rFonts w:ascii="Arial Narrow" w:hAnsi="Arial Narrow"/>
          <w:sz w:val="20"/>
        </w:rPr>
        <w:tab/>
      </w:r>
      <w:r w:rsidR="0037445A" w:rsidRPr="0037445A">
        <w:rPr>
          <w:rFonts w:ascii="Arial Narrow" w:hAnsi="Arial Narrow"/>
          <w:sz w:val="20"/>
        </w:rPr>
        <w:t xml:space="preserve">NOVOSTAVBA SKLADU </w:t>
      </w:r>
    </w:p>
    <w:p w14:paraId="2E4C09A6" w14:textId="19FC135E" w:rsidR="0037445A" w:rsidRDefault="006F1BEF" w:rsidP="0037445A">
      <w:pPr>
        <w:spacing w:after="0" w:line="276" w:lineRule="auto"/>
        <w:ind w:left="2124" w:hanging="2124"/>
        <w:rPr>
          <w:rFonts w:ascii="Arial Narrow" w:hAnsi="Arial Narrow"/>
          <w:sz w:val="20"/>
        </w:rPr>
      </w:pPr>
      <w:r w:rsidRPr="00AA3758">
        <w:rPr>
          <w:rFonts w:ascii="Arial Narrow" w:hAnsi="Arial Narrow"/>
          <w:sz w:val="20"/>
        </w:rPr>
        <w:t>Miesto stavby:</w:t>
      </w:r>
      <w:r w:rsidRPr="00AA3758">
        <w:rPr>
          <w:rFonts w:ascii="Arial Narrow" w:hAnsi="Arial Narrow"/>
          <w:sz w:val="20"/>
        </w:rPr>
        <w:tab/>
      </w:r>
      <w:r w:rsidR="0037445A" w:rsidRPr="0037445A">
        <w:rPr>
          <w:rFonts w:ascii="Arial Narrow" w:hAnsi="Arial Narrow"/>
          <w:sz w:val="20"/>
        </w:rPr>
        <w:t>O</w:t>
      </w:r>
      <w:r w:rsidR="0037445A">
        <w:rPr>
          <w:rFonts w:ascii="Arial Narrow" w:hAnsi="Arial Narrow"/>
          <w:sz w:val="20"/>
        </w:rPr>
        <w:t>ž</w:t>
      </w:r>
      <w:r w:rsidR="0037445A" w:rsidRPr="0037445A">
        <w:rPr>
          <w:rFonts w:ascii="Arial Narrow" w:hAnsi="Arial Narrow"/>
          <w:sz w:val="20"/>
        </w:rPr>
        <w:t xml:space="preserve">ďany, firemný areál </w:t>
      </w:r>
      <w:proofErr w:type="spellStart"/>
      <w:r w:rsidR="0037445A" w:rsidRPr="0037445A">
        <w:rPr>
          <w:rFonts w:ascii="Arial Narrow" w:hAnsi="Arial Narrow"/>
          <w:sz w:val="20"/>
        </w:rPr>
        <w:t>Agroris</w:t>
      </w:r>
      <w:proofErr w:type="spellEnd"/>
      <w:r w:rsidR="0037445A" w:rsidRPr="0037445A">
        <w:rPr>
          <w:rFonts w:ascii="Arial Narrow" w:hAnsi="Arial Narrow"/>
          <w:sz w:val="20"/>
        </w:rPr>
        <w:t xml:space="preserve"> s.r.o.</w:t>
      </w:r>
      <w:r w:rsidR="0037445A">
        <w:rPr>
          <w:rFonts w:ascii="Arial Narrow" w:hAnsi="Arial Narrow"/>
          <w:sz w:val="20"/>
        </w:rPr>
        <w:t xml:space="preserve">, </w:t>
      </w:r>
      <w:proofErr w:type="spellStart"/>
      <w:r w:rsidR="0037445A">
        <w:rPr>
          <w:rFonts w:ascii="Arial Narrow" w:hAnsi="Arial Narrow"/>
          <w:sz w:val="20"/>
        </w:rPr>
        <w:t>p.č</w:t>
      </w:r>
      <w:proofErr w:type="spellEnd"/>
      <w:r w:rsidR="0037445A">
        <w:rPr>
          <w:rFonts w:ascii="Arial Narrow" w:hAnsi="Arial Narrow"/>
          <w:sz w:val="20"/>
        </w:rPr>
        <w:t xml:space="preserve">.: </w:t>
      </w:r>
      <w:r w:rsidR="0037445A" w:rsidRPr="0037445A">
        <w:rPr>
          <w:rFonts w:ascii="Arial Narrow" w:hAnsi="Arial Narrow"/>
          <w:sz w:val="20"/>
        </w:rPr>
        <w:t>2714/1, 2716/2, 2716/3</w:t>
      </w:r>
    </w:p>
    <w:p w14:paraId="48336105" w14:textId="412BC91C" w:rsidR="00C80BEC" w:rsidRDefault="006F1BEF" w:rsidP="0037445A">
      <w:pPr>
        <w:spacing w:after="0" w:line="276" w:lineRule="auto"/>
        <w:ind w:left="2124" w:hanging="2124"/>
        <w:rPr>
          <w:rFonts w:ascii="Arial Narrow" w:hAnsi="Arial Narrow"/>
          <w:sz w:val="20"/>
        </w:rPr>
      </w:pPr>
      <w:r w:rsidRPr="00AA3758">
        <w:rPr>
          <w:rFonts w:ascii="Arial Narrow" w:hAnsi="Arial Narrow"/>
          <w:sz w:val="20"/>
        </w:rPr>
        <w:t>Investor:</w:t>
      </w:r>
      <w:r w:rsidRPr="00AA3758">
        <w:rPr>
          <w:rFonts w:ascii="Arial Narrow" w:hAnsi="Arial Narrow"/>
          <w:sz w:val="20"/>
        </w:rPr>
        <w:tab/>
      </w:r>
      <w:r w:rsidR="0037445A" w:rsidRPr="0037445A">
        <w:rPr>
          <w:rFonts w:ascii="Arial Narrow" w:hAnsi="Arial Narrow"/>
          <w:sz w:val="20"/>
        </w:rPr>
        <w:t>AGRORIS s.r.o. Potravinárska 3694, Rimavská Sobota, 979 01</w:t>
      </w:r>
    </w:p>
    <w:p w14:paraId="2E5D4782" w14:textId="27754AB3" w:rsidR="006F1BEF" w:rsidRPr="00AA3758" w:rsidRDefault="006F1BEF" w:rsidP="00C80BEC">
      <w:pPr>
        <w:spacing w:after="0" w:line="276" w:lineRule="auto"/>
        <w:jc w:val="both"/>
        <w:rPr>
          <w:rFonts w:ascii="Arial Narrow" w:hAnsi="Arial Narrow"/>
          <w:sz w:val="20"/>
        </w:rPr>
      </w:pPr>
      <w:r w:rsidRPr="00AA3758">
        <w:rPr>
          <w:rFonts w:ascii="Arial Narrow" w:hAnsi="Arial Narrow"/>
          <w:sz w:val="20"/>
        </w:rPr>
        <w:t>Stupeň PD:</w:t>
      </w:r>
      <w:r w:rsidRPr="00AA3758">
        <w:rPr>
          <w:rFonts w:ascii="Arial Narrow" w:hAnsi="Arial Narrow"/>
          <w:sz w:val="20"/>
        </w:rPr>
        <w:tab/>
      </w:r>
      <w:r w:rsidR="00C80BEC">
        <w:rPr>
          <w:rFonts w:ascii="Arial Narrow" w:hAnsi="Arial Narrow"/>
          <w:sz w:val="20"/>
        </w:rPr>
        <w:tab/>
      </w:r>
      <w:r>
        <w:rPr>
          <w:rFonts w:ascii="Arial Narrow" w:hAnsi="Arial Narrow"/>
          <w:sz w:val="20"/>
        </w:rPr>
        <w:t>P</w:t>
      </w:r>
      <w:r w:rsidRPr="00065BD1">
        <w:rPr>
          <w:rFonts w:ascii="Arial Narrow" w:hAnsi="Arial Narrow"/>
          <w:sz w:val="20"/>
        </w:rPr>
        <w:t xml:space="preserve">rojekt pre </w:t>
      </w:r>
      <w:r w:rsidR="00B64BB2">
        <w:rPr>
          <w:rFonts w:ascii="Arial Narrow" w:hAnsi="Arial Narrow"/>
          <w:sz w:val="20"/>
        </w:rPr>
        <w:t>stavebné povolenie</w:t>
      </w:r>
    </w:p>
    <w:p w14:paraId="4B8D1C8B" w14:textId="77777777" w:rsidR="0045723D" w:rsidRPr="00A807DE" w:rsidRDefault="0045723D" w:rsidP="00C80BEC">
      <w:pPr>
        <w:spacing w:after="0" w:line="276" w:lineRule="auto"/>
        <w:jc w:val="both"/>
        <w:rPr>
          <w:rFonts w:asciiTheme="minorHAnsi" w:hAnsiTheme="minorHAnsi" w:cstheme="minorHAnsi"/>
          <w:bCs/>
        </w:rPr>
      </w:pPr>
    </w:p>
    <w:p w14:paraId="7F8CE3EC" w14:textId="77777777" w:rsidR="0045723D" w:rsidRPr="006F1BEF" w:rsidRDefault="0045723D" w:rsidP="00C80BEC">
      <w:pPr>
        <w:pStyle w:val="Odsekzoznamu"/>
        <w:numPr>
          <w:ilvl w:val="0"/>
          <w:numId w:val="1"/>
        </w:numPr>
        <w:spacing w:before="240" w:after="120" w:line="276" w:lineRule="auto"/>
        <w:jc w:val="both"/>
        <w:rPr>
          <w:rFonts w:ascii="Arial Narrow" w:hAnsi="Arial Narrow" w:cstheme="minorHAnsi"/>
          <w:b/>
          <w:bCs/>
          <w:szCs w:val="20"/>
        </w:rPr>
      </w:pPr>
      <w:r w:rsidRPr="006F1BEF">
        <w:rPr>
          <w:rFonts w:ascii="Arial Narrow" w:hAnsi="Arial Narrow" w:cstheme="minorHAnsi"/>
          <w:b/>
          <w:bCs/>
          <w:szCs w:val="20"/>
        </w:rPr>
        <w:t>URBANISTICKÉ A DISPOZIČNÉ RIEŠENIE</w:t>
      </w:r>
      <w:r w:rsidR="006F1BEF">
        <w:rPr>
          <w:rFonts w:asciiTheme="minorHAnsi" w:hAnsiTheme="minorHAnsi" w:cstheme="minorHAnsi"/>
          <w:b/>
          <w:bCs/>
        </w:rPr>
        <w:t xml:space="preserve"> </w:t>
      </w:r>
    </w:p>
    <w:p w14:paraId="0DB2F448" w14:textId="2DF1EB27" w:rsidR="00C80BEC" w:rsidRDefault="00A807DE" w:rsidP="00C80BEC">
      <w:pPr>
        <w:spacing w:after="0" w:line="276" w:lineRule="auto"/>
        <w:ind w:firstLine="708"/>
        <w:jc w:val="both"/>
        <w:rPr>
          <w:rFonts w:ascii="Arial Narrow" w:hAnsi="Arial Narrow"/>
          <w:sz w:val="20"/>
        </w:rPr>
      </w:pPr>
      <w:r w:rsidRPr="006F1BEF">
        <w:rPr>
          <w:rFonts w:ascii="Arial Narrow" w:hAnsi="Arial Narrow"/>
          <w:sz w:val="20"/>
        </w:rPr>
        <w:t xml:space="preserve">Projektová dokumentácia bola spracovaná na základe objednávky investora a na základe jeho požiadaviek na dispozičné a kapacitné riešenie </w:t>
      </w:r>
      <w:r w:rsidR="00EA0F44">
        <w:rPr>
          <w:rFonts w:ascii="Arial Narrow" w:hAnsi="Arial Narrow"/>
          <w:sz w:val="20"/>
        </w:rPr>
        <w:t>skladovej haly</w:t>
      </w:r>
      <w:r w:rsidRPr="006F1BEF">
        <w:rPr>
          <w:rFonts w:ascii="Arial Narrow" w:hAnsi="Arial Narrow"/>
          <w:sz w:val="20"/>
        </w:rPr>
        <w:t xml:space="preserve">. </w:t>
      </w:r>
      <w:r w:rsidR="003C09EA" w:rsidRPr="003C09EA">
        <w:rPr>
          <w:rFonts w:ascii="Arial Narrow" w:hAnsi="Arial Narrow"/>
          <w:sz w:val="20"/>
        </w:rPr>
        <w:t>Jedná sa o</w:t>
      </w:r>
      <w:r w:rsidR="00C80BEC">
        <w:rPr>
          <w:rFonts w:ascii="Arial Narrow" w:hAnsi="Arial Narrow"/>
          <w:sz w:val="20"/>
        </w:rPr>
        <w:t xml:space="preserve"> halu na skladovanie </w:t>
      </w:r>
      <w:r w:rsidR="0037445A">
        <w:rPr>
          <w:rFonts w:ascii="Arial Narrow" w:hAnsi="Arial Narrow"/>
          <w:sz w:val="20"/>
        </w:rPr>
        <w:t xml:space="preserve">sóje, ktorá bude vysypaná voľne na podlahu. </w:t>
      </w:r>
    </w:p>
    <w:p w14:paraId="2FFC6A8E" w14:textId="77777777" w:rsidR="0045723D" w:rsidRPr="006F1BEF" w:rsidRDefault="0045723D" w:rsidP="00C80BEC">
      <w:pPr>
        <w:pStyle w:val="Odsekzoznamu"/>
        <w:numPr>
          <w:ilvl w:val="0"/>
          <w:numId w:val="1"/>
        </w:numPr>
        <w:spacing w:before="240" w:after="120" w:line="276" w:lineRule="auto"/>
        <w:jc w:val="both"/>
        <w:rPr>
          <w:rFonts w:ascii="Arial Narrow" w:hAnsi="Arial Narrow" w:cstheme="minorHAnsi"/>
          <w:b/>
          <w:bCs/>
          <w:szCs w:val="20"/>
        </w:rPr>
      </w:pPr>
      <w:r w:rsidRPr="006F1BEF">
        <w:rPr>
          <w:rFonts w:ascii="Arial Narrow" w:hAnsi="Arial Narrow" w:cstheme="minorHAnsi"/>
          <w:b/>
          <w:bCs/>
          <w:szCs w:val="20"/>
        </w:rPr>
        <w:t>POŽIARNA BEZPEČNOSŤ STAVBY</w:t>
      </w:r>
    </w:p>
    <w:p w14:paraId="5ED91827" w14:textId="53470241" w:rsidR="0037445A" w:rsidRDefault="00EA0F44" w:rsidP="00C80BEC">
      <w:pPr>
        <w:spacing w:after="0" w:line="276" w:lineRule="auto"/>
        <w:ind w:firstLine="708"/>
        <w:jc w:val="both"/>
        <w:rPr>
          <w:rFonts w:ascii="Arial Narrow" w:hAnsi="Arial Narrow"/>
          <w:sz w:val="20"/>
        </w:rPr>
      </w:pPr>
      <w:r w:rsidRPr="006F1BEF">
        <w:rPr>
          <w:rFonts w:ascii="Arial Narrow" w:hAnsi="Arial Narrow"/>
          <w:sz w:val="20"/>
        </w:rPr>
        <w:t xml:space="preserve">V zmysle požiadaviek § </w:t>
      </w:r>
      <w:r>
        <w:rPr>
          <w:rFonts w:ascii="Arial Narrow" w:hAnsi="Arial Narrow"/>
          <w:sz w:val="20"/>
        </w:rPr>
        <w:t xml:space="preserve">1 písm. l) </w:t>
      </w:r>
      <w:r w:rsidRPr="006F1BEF">
        <w:rPr>
          <w:rFonts w:ascii="Arial Narrow" w:hAnsi="Arial Narrow"/>
          <w:sz w:val="20"/>
        </w:rPr>
        <w:t xml:space="preserve"> vyhl. MV SR č. 94/2004 Z. z., sa jedná </w:t>
      </w:r>
      <w:r>
        <w:rPr>
          <w:rFonts w:ascii="Arial Narrow" w:hAnsi="Arial Narrow"/>
          <w:sz w:val="20"/>
        </w:rPr>
        <w:t xml:space="preserve">o sklad v jednopodlažnej stavbe. </w:t>
      </w:r>
      <w:r w:rsidR="0037445A" w:rsidRPr="0037445A">
        <w:rPr>
          <w:rFonts w:ascii="Arial Narrow" w:hAnsi="Arial Narrow"/>
          <w:sz w:val="20"/>
        </w:rPr>
        <w:t xml:space="preserve">Nosná konštrukcia skladu sa navrhla z oceľového skeletu, ktorý bude osadený na základy zo </w:t>
      </w:r>
      <w:proofErr w:type="spellStart"/>
      <w:r w:rsidR="0037445A" w:rsidRPr="0037445A">
        <w:rPr>
          <w:rFonts w:ascii="Arial Narrow" w:hAnsi="Arial Narrow"/>
          <w:sz w:val="20"/>
        </w:rPr>
        <w:t>ţelezobetónových</w:t>
      </w:r>
      <w:proofErr w:type="spellEnd"/>
      <w:r w:rsidR="0037445A" w:rsidRPr="0037445A">
        <w:rPr>
          <w:rFonts w:ascii="Arial Narrow" w:hAnsi="Arial Narrow"/>
          <w:sz w:val="20"/>
        </w:rPr>
        <w:t xml:space="preserve"> dvojstupňových pätiek a </w:t>
      </w:r>
      <w:proofErr w:type="spellStart"/>
      <w:r w:rsidR="0037445A" w:rsidRPr="0037445A">
        <w:rPr>
          <w:rFonts w:ascii="Arial Narrow" w:hAnsi="Arial Narrow"/>
          <w:sz w:val="20"/>
        </w:rPr>
        <w:t>ţelezobetónových</w:t>
      </w:r>
      <w:proofErr w:type="spellEnd"/>
      <w:r w:rsidR="0037445A" w:rsidRPr="0037445A">
        <w:rPr>
          <w:rFonts w:ascii="Arial Narrow" w:hAnsi="Arial Narrow"/>
          <w:sz w:val="20"/>
        </w:rPr>
        <w:t xml:space="preserve"> </w:t>
      </w:r>
      <w:proofErr w:type="spellStart"/>
      <w:r w:rsidR="0037445A" w:rsidRPr="0037445A">
        <w:rPr>
          <w:rFonts w:ascii="Arial Narrow" w:hAnsi="Arial Narrow"/>
          <w:sz w:val="20"/>
        </w:rPr>
        <w:t>mrazoviek</w:t>
      </w:r>
      <w:proofErr w:type="spellEnd"/>
      <w:r w:rsidR="0037445A" w:rsidRPr="0037445A">
        <w:rPr>
          <w:rFonts w:ascii="Arial Narrow" w:hAnsi="Arial Narrow"/>
          <w:sz w:val="20"/>
        </w:rPr>
        <w:t xml:space="preserve">. Oceľový skelet bude opláštený trapézovým plechom. Na fasáde sa navrhli </w:t>
      </w:r>
      <w:proofErr w:type="spellStart"/>
      <w:r w:rsidR="0037445A" w:rsidRPr="0037445A">
        <w:rPr>
          <w:rFonts w:ascii="Arial Narrow" w:hAnsi="Arial Narrow"/>
          <w:sz w:val="20"/>
        </w:rPr>
        <w:t>presvetlovacie</w:t>
      </w:r>
      <w:proofErr w:type="spellEnd"/>
      <w:r w:rsidR="0037445A" w:rsidRPr="0037445A">
        <w:rPr>
          <w:rFonts w:ascii="Arial Narrow" w:hAnsi="Arial Narrow"/>
          <w:sz w:val="20"/>
        </w:rPr>
        <w:t xml:space="preserve"> pásy a vetracie pásy. Na vjazd sa navrhla sečný brána, mechanická na severnej fasáde objektu.</w:t>
      </w:r>
    </w:p>
    <w:p w14:paraId="20E3ABEC" w14:textId="77777777" w:rsidR="00C704A7" w:rsidRPr="006F1BEF" w:rsidRDefault="00C704A7" w:rsidP="00C80BEC">
      <w:pPr>
        <w:spacing w:before="120" w:after="60" w:line="276" w:lineRule="auto"/>
        <w:jc w:val="both"/>
        <w:rPr>
          <w:rFonts w:ascii="Arial Narrow" w:hAnsi="Arial Narrow" w:cstheme="minorHAnsi"/>
          <w:b/>
          <w:i/>
          <w:sz w:val="20"/>
          <w:szCs w:val="20"/>
        </w:rPr>
      </w:pPr>
      <w:r w:rsidRPr="006F1BEF">
        <w:rPr>
          <w:rFonts w:ascii="Arial Narrow" w:hAnsi="Arial Narrow" w:cstheme="minorHAnsi"/>
          <w:b/>
          <w:i/>
          <w:sz w:val="20"/>
          <w:szCs w:val="20"/>
        </w:rPr>
        <w:t>Konštrukčné prvky</w:t>
      </w:r>
    </w:p>
    <w:p w14:paraId="5947530D" w14:textId="2217CED2" w:rsidR="00A104C6" w:rsidRPr="006F1BEF" w:rsidRDefault="005A2208" w:rsidP="00C80BEC">
      <w:pPr>
        <w:spacing w:after="0" w:line="276" w:lineRule="auto"/>
        <w:ind w:firstLine="708"/>
        <w:jc w:val="both"/>
        <w:rPr>
          <w:rFonts w:ascii="Arial Narrow" w:hAnsi="Arial Narrow"/>
          <w:sz w:val="20"/>
        </w:rPr>
      </w:pPr>
      <w:r w:rsidRPr="006F1BEF">
        <w:rPr>
          <w:rFonts w:ascii="Arial Narrow" w:hAnsi="Arial Narrow"/>
          <w:sz w:val="20"/>
        </w:rPr>
        <w:t xml:space="preserve">Sú druhu D1. Konštrukčný celok je nehorľavý v zmysle čl. 2.6.3 STN 92 0201-2:2017. Požiarna výška stavby je určená podľa prílohy č. 2 vyhl. MV SR č. 94/2004. Požiarna výška h = </w:t>
      </w:r>
      <w:r w:rsidR="00C80BEC">
        <w:rPr>
          <w:rFonts w:ascii="Arial Narrow" w:hAnsi="Arial Narrow"/>
          <w:sz w:val="20"/>
        </w:rPr>
        <w:t>0,0</w:t>
      </w:r>
      <w:r w:rsidRPr="006F1BEF">
        <w:rPr>
          <w:rFonts w:ascii="Arial Narrow" w:hAnsi="Arial Narrow"/>
          <w:sz w:val="20"/>
        </w:rPr>
        <w:t xml:space="preserve"> m.</w:t>
      </w:r>
    </w:p>
    <w:p w14:paraId="204A08A8" w14:textId="77777777" w:rsidR="00C704A7" w:rsidRPr="006F1BEF" w:rsidRDefault="00C704A7" w:rsidP="00C80BEC">
      <w:pPr>
        <w:spacing w:before="120" w:after="60" w:line="276" w:lineRule="auto"/>
        <w:jc w:val="both"/>
        <w:rPr>
          <w:rFonts w:ascii="Arial Narrow" w:hAnsi="Arial Narrow" w:cstheme="minorHAnsi"/>
          <w:b/>
          <w:i/>
          <w:sz w:val="20"/>
          <w:szCs w:val="20"/>
        </w:rPr>
      </w:pPr>
      <w:r w:rsidRPr="006F1BEF">
        <w:rPr>
          <w:rFonts w:ascii="Arial Narrow" w:hAnsi="Arial Narrow" w:cstheme="minorHAnsi"/>
          <w:b/>
          <w:i/>
          <w:sz w:val="20"/>
          <w:szCs w:val="20"/>
        </w:rPr>
        <w:t>Elektroinštalácia</w:t>
      </w:r>
    </w:p>
    <w:p w14:paraId="533AD89E" w14:textId="77777777" w:rsidR="00A104C6" w:rsidRPr="006F1BEF" w:rsidRDefault="00C704A7" w:rsidP="00C80BEC">
      <w:pPr>
        <w:spacing w:after="60" w:line="276" w:lineRule="auto"/>
        <w:ind w:firstLine="708"/>
        <w:jc w:val="both"/>
        <w:rPr>
          <w:rFonts w:ascii="Arial Narrow" w:hAnsi="Arial Narrow"/>
          <w:sz w:val="20"/>
        </w:rPr>
      </w:pPr>
      <w:r w:rsidRPr="00A807DE">
        <w:rPr>
          <w:rFonts w:asciiTheme="minorHAnsi" w:hAnsiTheme="minorHAnsi" w:cstheme="minorHAnsi"/>
          <w:bCs/>
        </w:rPr>
        <w:t>B</w:t>
      </w:r>
      <w:r w:rsidR="00AA2D08" w:rsidRPr="006F1BEF">
        <w:rPr>
          <w:rFonts w:ascii="Arial Narrow" w:hAnsi="Arial Narrow"/>
          <w:sz w:val="20"/>
        </w:rPr>
        <w:t xml:space="preserve">ude realizovaná podľa platných predpisov v súlade s STN z odboru elektro. V objekte je ochrana proti atmosférickým výbojom navrhnutá v súlade s príslušnými STN EN 62305-1 až 4 a vyhl. MV SR č. 94/2004 Z. z., podrobnejšie v projektovej dokumentácií – elektroinštalácia. </w:t>
      </w:r>
      <w:r w:rsidR="00A104C6" w:rsidRPr="006F1BEF">
        <w:rPr>
          <w:rFonts w:ascii="Arial Narrow" w:hAnsi="Arial Narrow"/>
          <w:sz w:val="20"/>
        </w:rPr>
        <w:t xml:space="preserve">Vnútorné rozvody a elektroinštalácia posudzovaných požiarnych úsekov je navrhnutá podľa platných STN v predpísanom krytí podľa charakteru prostredia, určeného protokolom o prostredí. Stanovenie prostredia sa vykonáva v zmysle STN 33 2000-5-51. Podrobnejšie v projektovej dokumentácií – elektroinštalácia. Elektroinštalácia musí byť v príslušnom krytí podľa elektrického prostredia v ktorom sa nachádza, nesmú sa zriaďovať žiadne provizóriá. Elektrické zariadenia nesmú byť príčinou vzniku požiaru okolitých materiálov v zmysle čl. 422.1 STN 33 2000-4-42:2012-04. Elektrická inštalácia sa musí usporiadať tak, aby vplyvom vysokej teploty alebo elektrického oblúka nevzniklo nebezpečenstvo vznietenia horľavých materiálov v zmysle čl. 131.3 STN 33 2000-1:2009-04. Elektrické inštalácie budov musia byť zrealizované v zmysle platných noriem radu STN 33 2000 a v zmysle príslušných montážnych inštrukcií výrobcu. Elektroinštalácia v požiarne deliacich konštrukciách smie byť v nich len v zmysle požiadaviek STN 33 2312:2013-09. Pri ukladaní elektrických silových rozvodov a ich príslušenstva do protipožiarnych deliacich konštrukcií a na ich povrch nesmie byť znížená alebo porušená požiarna odolnosť týchto konštrukcií. Prestupy elektroinštalácie musia byť vhodne protipožiarne utesnené z obidvoch strán. V objekte musí byť navrhnutá ochrana proti atmosférickým výbojom v súlade s </w:t>
      </w:r>
      <w:r w:rsidR="00A104C6" w:rsidRPr="006F1BEF">
        <w:rPr>
          <w:rFonts w:ascii="Arial Narrow" w:hAnsi="Arial Narrow"/>
          <w:sz w:val="20"/>
        </w:rPr>
        <w:lastRenderedPageBreak/>
        <w:t xml:space="preserve">príslušnými STN EN 62305-1 až 4 a vyhl. MV SR č. 94/2004 Z. z., podrobnejšie v projektovej dokumentácií – elektroinštalácia. </w:t>
      </w:r>
    </w:p>
    <w:p w14:paraId="1394F919" w14:textId="77777777" w:rsidR="00A104C6" w:rsidRPr="006F1BEF" w:rsidRDefault="00A104C6" w:rsidP="00C80BEC">
      <w:pPr>
        <w:spacing w:after="60" w:line="276" w:lineRule="auto"/>
        <w:ind w:firstLine="708"/>
        <w:jc w:val="both"/>
        <w:rPr>
          <w:rFonts w:ascii="Arial Narrow" w:hAnsi="Arial Narrow"/>
          <w:sz w:val="20"/>
        </w:rPr>
      </w:pPr>
      <w:r w:rsidRPr="006F1BEF">
        <w:rPr>
          <w:rFonts w:ascii="Arial Narrow" w:hAnsi="Arial Narrow"/>
          <w:sz w:val="20"/>
        </w:rPr>
        <w:t xml:space="preserve">Bleskozvod (zariadenie na ochranu pred účinkami atmosférickej elektriny) musia mať vedenia a zvody upevnené zvodovými podperami tak, aby boli dodržané požiadavky STN EN 62305-1 až 4.Elektrické zariadenia (elektroinštalácia a bleskozvody) musia byť pravidelne kontrolované a podrobované odborným prehliadkam a skúškam v zmysle § 13 vyhlášky MPSVaR 508/2009 Z. z. </w:t>
      </w:r>
    </w:p>
    <w:p w14:paraId="5524E370" w14:textId="77777777" w:rsidR="00FA70D7" w:rsidRPr="006F1BEF" w:rsidRDefault="00A104C6" w:rsidP="00C80BEC">
      <w:pPr>
        <w:spacing w:after="0" w:line="276" w:lineRule="auto"/>
        <w:ind w:firstLine="708"/>
        <w:jc w:val="both"/>
        <w:rPr>
          <w:rFonts w:ascii="Arial Narrow" w:hAnsi="Arial Narrow"/>
          <w:sz w:val="20"/>
        </w:rPr>
      </w:pPr>
      <w:r w:rsidRPr="006F1BEF">
        <w:rPr>
          <w:rFonts w:ascii="Arial Narrow" w:hAnsi="Arial Narrow"/>
          <w:sz w:val="20"/>
        </w:rPr>
        <w:t>Stavba musí byť vybavená ovládacím prvkom CENTRAL STOP v zmysle čl. 4.3.2</w:t>
      </w:r>
      <w:r w:rsidR="00FA70D7" w:rsidRPr="006F1BEF">
        <w:rPr>
          <w:rFonts w:ascii="Arial Narrow" w:hAnsi="Arial Narrow"/>
          <w:sz w:val="20"/>
        </w:rPr>
        <w:t>.</w:t>
      </w:r>
    </w:p>
    <w:p w14:paraId="033611BD" w14:textId="77777777" w:rsidR="0045723D" w:rsidRPr="006F1BEF" w:rsidRDefault="0045723D" w:rsidP="00C80BEC">
      <w:pPr>
        <w:pStyle w:val="Odsekzoznamu"/>
        <w:numPr>
          <w:ilvl w:val="0"/>
          <w:numId w:val="1"/>
        </w:numPr>
        <w:spacing w:before="240" w:after="120" w:line="276" w:lineRule="auto"/>
        <w:jc w:val="both"/>
        <w:rPr>
          <w:rFonts w:ascii="Arial Narrow" w:hAnsi="Arial Narrow" w:cstheme="minorHAnsi"/>
          <w:b/>
          <w:bCs/>
          <w:szCs w:val="20"/>
        </w:rPr>
      </w:pPr>
      <w:r w:rsidRPr="006F1BEF">
        <w:rPr>
          <w:rFonts w:ascii="Arial Narrow" w:hAnsi="Arial Narrow" w:cstheme="minorHAnsi"/>
          <w:b/>
          <w:bCs/>
          <w:szCs w:val="20"/>
        </w:rPr>
        <w:t>ČLENENIE STAVBY NA POŽIARNE ÚSEKY</w:t>
      </w:r>
    </w:p>
    <w:p w14:paraId="4C532F2A" w14:textId="38916F7C" w:rsidR="00D0752C" w:rsidRPr="006F1BEF" w:rsidRDefault="003C09EA" w:rsidP="00C80BEC">
      <w:pPr>
        <w:spacing w:after="120" w:line="276" w:lineRule="auto"/>
        <w:ind w:firstLine="708"/>
        <w:jc w:val="both"/>
        <w:rPr>
          <w:rFonts w:ascii="Arial Narrow" w:hAnsi="Arial Narrow"/>
          <w:sz w:val="20"/>
        </w:rPr>
      </w:pPr>
      <w:r>
        <w:rPr>
          <w:rFonts w:ascii="Arial Narrow" w:hAnsi="Arial Narrow"/>
          <w:sz w:val="20"/>
        </w:rPr>
        <w:t>Stavba</w:t>
      </w:r>
      <w:r w:rsidR="00CF15D2" w:rsidRPr="006F1BEF">
        <w:rPr>
          <w:rFonts w:ascii="Arial Narrow" w:hAnsi="Arial Narrow"/>
          <w:sz w:val="20"/>
        </w:rPr>
        <w:t xml:space="preserve"> je </w:t>
      </w:r>
      <w:r w:rsidR="00D0752C" w:rsidRPr="006F1BEF">
        <w:rPr>
          <w:rFonts w:ascii="Arial Narrow" w:hAnsi="Arial Narrow"/>
          <w:sz w:val="20"/>
        </w:rPr>
        <w:t>v</w:t>
      </w:r>
      <w:r w:rsidR="00D35A43" w:rsidRPr="006F1BEF">
        <w:rPr>
          <w:rFonts w:ascii="Arial Narrow" w:hAnsi="Arial Narrow"/>
          <w:sz w:val="20"/>
        </w:rPr>
        <w:t> zmysle § 3 a prílohy č.1</w:t>
      </w:r>
      <w:r w:rsidR="00D0752C" w:rsidRPr="006F1BEF">
        <w:rPr>
          <w:rFonts w:ascii="Arial Narrow" w:hAnsi="Arial Narrow"/>
          <w:sz w:val="20"/>
        </w:rPr>
        <w:t xml:space="preserve"> </w:t>
      </w:r>
      <w:r w:rsidR="00CF15D2" w:rsidRPr="006F1BEF">
        <w:rPr>
          <w:rFonts w:ascii="Arial Narrow" w:hAnsi="Arial Narrow"/>
          <w:sz w:val="20"/>
        </w:rPr>
        <w:t>vyhl. MV SR č. 94/2004 rozdelen</w:t>
      </w:r>
      <w:r>
        <w:rPr>
          <w:rFonts w:ascii="Arial Narrow" w:hAnsi="Arial Narrow"/>
          <w:sz w:val="20"/>
        </w:rPr>
        <w:t>á</w:t>
      </w:r>
      <w:r w:rsidR="00D0752C" w:rsidRPr="006F1BEF">
        <w:rPr>
          <w:rFonts w:ascii="Arial Narrow" w:hAnsi="Arial Narrow"/>
          <w:sz w:val="20"/>
        </w:rPr>
        <w:t xml:space="preserve"> na požiarne úseky:</w:t>
      </w:r>
    </w:p>
    <w:p w14:paraId="2E453E3F" w14:textId="1FC62FEF" w:rsidR="00FA70D7" w:rsidRDefault="00FA70D7" w:rsidP="00C80BEC">
      <w:pPr>
        <w:pStyle w:val="Odsekzoznamu"/>
        <w:numPr>
          <w:ilvl w:val="0"/>
          <w:numId w:val="2"/>
        </w:numPr>
        <w:spacing w:after="60" w:line="276" w:lineRule="auto"/>
        <w:jc w:val="both"/>
        <w:rPr>
          <w:rFonts w:ascii="Arial Narrow" w:hAnsi="Arial Narrow" w:cstheme="minorHAnsi"/>
          <w:bCs/>
          <w:i/>
          <w:sz w:val="20"/>
        </w:rPr>
      </w:pPr>
      <w:r w:rsidRPr="006F1BEF">
        <w:rPr>
          <w:rFonts w:ascii="Arial Narrow" w:hAnsi="Arial Narrow" w:cstheme="minorHAnsi"/>
          <w:bCs/>
          <w:i/>
          <w:sz w:val="20"/>
        </w:rPr>
        <w:t>N1.01</w:t>
      </w:r>
      <w:r w:rsidRPr="006F1BEF">
        <w:rPr>
          <w:rFonts w:ascii="Arial Narrow" w:hAnsi="Arial Narrow" w:cstheme="minorHAnsi"/>
          <w:bCs/>
          <w:i/>
          <w:sz w:val="20"/>
        </w:rPr>
        <w:tab/>
      </w:r>
      <w:r w:rsidRPr="006F1BEF">
        <w:rPr>
          <w:rFonts w:ascii="Arial Narrow" w:hAnsi="Arial Narrow" w:cstheme="minorHAnsi"/>
          <w:bCs/>
          <w:i/>
          <w:sz w:val="20"/>
        </w:rPr>
        <w:tab/>
        <w:t xml:space="preserve">– </w:t>
      </w:r>
      <w:r w:rsidR="0037445A">
        <w:rPr>
          <w:rFonts w:ascii="Arial Narrow" w:hAnsi="Arial Narrow" w:cstheme="minorHAnsi"/>
          <w:bCs/>
          <w:i/>
          <w:sz w:val="20"/>
        </w:rPr>
        <w:t>sklad</w:t>
      </w:r>
    </w:p>
    <w:p w14:paraId="19279883" w14:textId="60D3C68A" w:rsidR="008332A4" w:rsidRPr="006F1BEF" w:rsidRDefault="006F1BEF" w:rsidP="00C80BEC">
      <w:pPr>
        <w:pStyle w:val="Odsekzoznamu"/>
        <w:numPr>
          <w:ilvl w:val="0"/>
          <w:numId w:val="1"/>
        </w:numPr>
        <w:spacing w:before="240" w:after="120" w:line="276" w:lineRule="auto"/>
        <w:rPr>
          <w:rFonts w:ascii="Arial Narrow" w:hAnsi="Arial Narrow" w:cstheme="minorHAnsi"/>
          <w:b/>
          <w:bCs/>
          <w:szCs w:val="20"/>
        </w:rPr>
      </w:pPr>
      <w:r w:rsidRPr="00065BD1">
        <w:rPr>
          <w:rFonts w:ascii="Arial Narrow" w:hAnsi="Arial Narrow" w:cstheme="minorHAnsi"/>
          <w:b/>
          <w:bCs/>
          <w:szCs w:val="20"/>
        </w:rPr>
        <w:t>URČENIE POŽIARNEHO RIZIKA</w:t>
      </w:r>
    </w:p>
    <w:p w14:paraId="48A07727" w14:textId="77777777" w:rsidR="00B64BB2" w:rsidRPr="00CD4CD6" w:rsidRDefault="00B64BB2" w:rsidP="00B64BB2">
      <w:pPr>
        <w:pStyle w:val="Zkladntext"/>
        <w:spacing w:line="276" w:lineRule="auto"/>
        <w:ind w:firstLine="708"/>
        <w:jc w:val="both"/>
        <w:rPr>
          <w:rFonts w:ascii="Arial Narrow" w:hAnsi="Arial Narrow" w:cstheme="minorHAnsi"/>
          <w:color w:val="000000"/>
          <w:sz w:val="20"/>
          <w:szCs w:val="22"/>
        </w:rPr>
      </w:pPr>
      <w:r w:rsidRPr="00CD4CD6">
        <w:rPr>
          <w:rFonts w:ascii="Arial Narrow" w:hAnsi="Arial Narrow" w:cstheme="minorHAnsi"/>
          <w:bCs/>
          <w:sz w:val="20"/>
          <w:szCs w:val="22"/>
        </w:rPr>
        <w:t>Požiarne riziko požiarneho úseku N1.01</w:t>
      </w:r>
      <w:r w:rsidRPr="00CD4CD6">
        <w:rPr>
          <w:rFonts w:ascii="Arial Narrow" w:hAnsi="Arial Narrow" w:cstheme="minorHAnsi"/>
          <w:sz w:val="20"/>
          <w:szCs w:val="22"/>
        </w:rPr>
        <w:t xml:space="preserve"> je vyjadrené</w:t>
      </w:r>
      <w:r>
        <w:rPr>
          <w:rFonts w:ascii="Arial Narrow" w:hAnsi="Arial Narrow" w:cstheme="minorHAnsi"/>
          <w:sz w:val="20"/>
          <w:szCs w:val="22"/>
        </w:rPr>
        <w:t xml:space="preserve"> </w:t>
      </w:r>
      <w:r w:rsidRPr="00B85A44">
        <w:rPr>
          <w:rFonts w:ascii="Arial Narrow" w:hAnsi="Arial Narrow" w:cstheme="minorHAnsi"/>
          <w:sz w:val="20"/>
          <w:szCs w:val="22"/>
        </w:rPr>
        <w:t>indexom skladovaných materiálov a indexom ekonomického rizika</w:t>
      </w:r>
      <w:r>
        <w:rPr>
          <w:rFonts w:ascii="Arial Narrow" w:hAnsi="Arial Narrow" w:cstheme="minorHAnsi"/>
          <w:sz w:val="20"/>
          <w:szCs w:val="22"/>
        </w:rPr>
        <w:t xml:space="preserve"> </w:t>
      </w:r>
      <w:r w:rsidRPr="00CD4CD6">
        <w:rPr>
          <w:rFonts w:ascii="Arial Narrow" w:hAnsi="Arial Narrow" w:cstheme="minorHAnsi"/>
          <w:sz w:val="20"/>
          <w:szCs w:val="22"/>
        </w:rPr>
        <w:t>(</w:t>
      </w:r>
      <w:r w:rsidRPr="00CD4CD6">
        <w:rPr>
          <w:rFonts w:ascii="Arial Narrow" w:hAnsi="Arial Narrow" w:cstheme="minorHAnsi"/>
          <w:color w:val="000000"/>
          <w:sz w:val="20"/>
          <w:szCs w:val="22"/>
        </w:rPr>
        <w:t xml:space="preserve">§ </w:t>
      </w:r>
      <w:r>
        <w:rPr>
          <w:rFonts w:ascii="Arial Narrow" w:hAnsi="Arial Narrow" w:cstheme="minorHAnsi"/>
          <w:color w:val="000000"/>
          <w:sz w:val="20"/>
          <w:szCs w:val="22"/>
        </w:rPr>
        <w:t>28</w:t>
      </w:r>
      <w:r w:rsidRPr="00CD4CD6">
        <w:rPr>
          <w:rFonts w:ascii="Arial Narrow" w:hAnsi="Arial Narrow" w:cstheme="minorHAnsi"/>
          <w:color w:val="000000"/>
          <w:sz w:val="20"/>
          <w:szCs w:val="22"/>
        </w:rPr>
        <w:t xml:space="preserve"> </w:t>
      </w:r>
      <w:r w:rsidRPr="00CD4CD6">
        <w:rPr>
          <w:rFonts w:ascii="Arial Narrow" w:hAnsi="Arial Narrow" w:cstheme="minorHAnsi"/>
          <w:sz w:val="20"/>
          <w:szCs w:val="22"/>
        </w:rPr>
        <w:t>vyhl. MV SR č. 94/2004</w:t>
      </w:r>
      <w:r>
        <w:rPr>
          <w:rFonts w:ascii="Arial Narrow" w:hAnsi="Arial Narrow" w:cstheme="minorHAnsi"/>
          <w:sz w:val="20"/>
          <w:szCs w:val="22"/>
        </w:rPr>
        <w:t>)</w:t>
      </w:r>
      <w:r w:rsidRPr="00CD4CD6">
        <w:rPr>
          <w:rFonts w:ascii="Arial Narrow" w:hAnsi="Arial Narrow" w:cstheme="minorHAnsi"/>
          <w:color w:val="000000"/>
          <w:sz w:val="20"/>
          <w:szCs w:val="22"/>
        </w:rPr>
        <w:t xml:space="preserve">. </w:t>
      </w:r>
    </w:p>
    <w:p w14:paraId="4F07FE9E" w14:textId="4B57C5FA" w:rsidR="00B64BB2" w:rsidRPr="006E495F" w:rsidRDefault="00B64BB2" w:rsidP="00B64BB2">
      <w:pPr>
        <w:spacing w:after="0" w:line="276" w:lineRule="auto"/>
        <w:ind w:firstLine="708"/>
        <w:jc w:val="both"/>
        <w:rPr>
          <w:rFonts w:ascii="Arial Narrow" w:hAnsi="Arial Narrow" w:cstheme="minorHAnsi"/>
          <w:bCs/>
          <w:i/>
          <w:iCs/>
          <w:sz w:val="20"/>
        </w:rPr>
      </w:pPr>
      <w:r w:rsidRPr="006E495F">
        <w:rPr>
          <w:rFonts w:ascii="Arial Narrow" w:hAnsi="Arial Narrow" w:cstheme="minorHAnsi"/>
          <w:bCs/>
          <w:i/>
          <w:iCs/>
          <w:sz w:val="20"/>
        </w:rPr>
        <w:t xml:space="preserve">Index skladovaných materiálov – </w:t>
      </w:r>
      <w:proofErr w:type="spellStart"/>
      <w:r w:rsidRPr="006E495F">
        <w:rPr>
          <w:rFonts w:ascii="Arial Narrow" w:hAnsi="Arial Narrow" w:cstheme="minorHAnsi"/>
          <w:bCs/>
          <w:i/>
          <w:iCs/>
          <w:sz w:val="20"/>
        </w:rPr>
        <w:t>i</w:t>
      </w:r>
      <w:r w:rsidRPr="006E495F">
        <w:rPr>
          <w:rFonts w:ascii="Arial Narrow" w:hAnsi="Arial Narrow" w:cstheme="minorHAnsi"/>
          <w:bCs/>
          <w:i/>
          <w:iCs/>
          <w:sz w:val="20"/>
          <w:vertAlign w:val="subscript"/>
        </w:rPr>
        <w:t>p</w:t>
      </w:r>
      <w:proofErr w:type="spellEnd"/>
      <w:r w:rsidRPr="006E495F">
        <w:rPr>
          <w:rFonts w:ascii="Arial Narrow" w:hAnsi="Arial Narrow" w:cstheme="minorHAnsi"/>
          <w:bCs/>
          <w:i/>
          <w:iCs/>
          <w:sz w:val="20"/>
        </w:rPr>
        <w:t>:</w:t>
      </w:r>
      <w:r>
        <w:rPr>
          <w:rFonts w:ascii="Arial Narrow" w:hAnsi="Arial Narrow" w:cstheme="minorHAnsi"/>
          <w:bCs/>
          <w:i/>
          <w:iCs/>
          <w:sz w:val="20"/>
        </w:rPr>
        <w:tab/>
      </w:r>
      <w:r>
        <w:rPr>
          <w:rFonts w:ascii="Arial Narrow" w:hAnsi="Arial Narrow" w:cstheme="minorHAnsi"/>
          <w:bCs/>
          <w:i/>
          <w:iCs/>
          <w:sz w:val="20"/>
        </w:rPr>
        <w:tab/>
      </w:r>
      <w:r w:rsidR="00F633A1">
        <w:rPr>
          <w:rFonts w:ascii="Arial Narrow" w:hAnsi="Arial Narrow" w:cstheme="minorHAnsi"/>
          <w:bCs/>
          <w:i/>
          <w:iCs/>
          <w:sz w:val="20"/>
        </w:rPr>
        <w:t>1,64</w:t>
      </w:r>
    </w:p>
    <w:p w14:paraId="00BFC47A" w14:textId="42257EBB" w:rsidR="00B64BB2" w:rsidRDefault="00B64BB2" w:rsidP="00B64BB2">
      <w:pPr>
        <w:spacing w:after="120" w:line="276" w:lineRule="auto"/>
        <w:ind w:firstLine="708"/>
        <w:jc w:val="both"/>
        <w:rPr>
          <w:rFonts w:ascii="Arial Narrow" w:hAnsi="Arial Narrow" w:cstheme="minorHAnsi"/>
          <w:bCs/>
          <w:i/>
          <w:iCs/>
          <w:sz w:val="20"/>
        </w:rPr>
      </w:pPr>
      <w:r w:rsidRPr="006E495F">
        <w:rPr>
          <w:rFonts w:ascii="Arial Narrow" w:hAnsi="Arial Narrow" w:cstheme="minorHAnsi"/>
          <w:bCs/>
          <w:i/>
          <w:iCs/>
          <w:sz w:val="20"/>
        </w:rPr>
        <w:t xml:space="preserve">Index ekonomického rizika -        </w:t>
      </w:r>
      <w:proofErr w:type="spellStart"/>
      <w:r w:rsidRPr="006E495F">
        <w:rPr>
          <w:rFonts w:ascii="Arial Narrow" w:hAnsi="Arial Narrow" w:cstheme="minorHAnsi"/>
          <w:bCs/>
          <w:i/>
          <w:iCs/>
          <w:sz w:val="20"/>
        </w:rPr>
        <w:t>i</w:t>
      </w:r>
      <w:r w:rsidRPr="006E495F">
        <w:rPr>
          <w:rFonts w:ascii="Arial Narrow" w:hAnsi="Arial Narrow" w:cstheme="minorHAnsi"/>
          <w:bCs/>
          <w:i/>
          <w:iCs/>
          <w:sz w:val="20"/>
          <w:vertAlign w:val="subscript"/>
        </w:rPr>
        <w:t>e</w:t>
      </w:r>
      <w:proofErr w:type="spellEnd"/>
      <w:r w:rsidRPr="006E495F">
        <w:rPr>
          <w:rFonts w:ascii="Arial Narrow" w:hAnsi="Arial Narrow" w:cstheme="minorHAnsi"/>
          <w:bCs/>
          <w:i/>
          <w:iCs/>
          <w:sz w:val="20"/>
        </w:rPr>
        <w:t xml:space="preserve">:     </w:t>
      </w:r>
      <w:r>
        <w:rPr>
          <w:rFonts w:ascii="Arial Narrow" w:hAnsi="Arial Narrow" w:cstheme="minorHAnsi"/>
          <w:bCs/>
          <w:i/>
          <w:iCs/>
          <w:sz w:val="20"/>
        </w:rPr>
        <w:tab/>
      </w:r>
      <w:r>
        <w:rPr>
          <w:rFonts w:ascii="Arial Narrow" w:hAnsi="Arial Narrow" w:cstheme="minorHAnsi"/>
          <w:bCs/>
          <w:i/>
          <w:iCs/>
          <w:sz w:val="20"/>
        </w:rPr>
        <w:tab/>
      </w:r>
      <w:r w:rsidR="00F633A1">
        <w:rPr>
          <w:rFonts w:ascii="Arial Narrow" w:hAnsi="Arial Narrow" w:cstheme="minorHAnsi"/>
          <w:bCs/>
          <w:i/>
          <w:iCs/>
          <w:sz w:val="20"/>
        </w:rPr>
        <w:t>2,22</w:t>
      </w:r>
    </w:p>
    <w:p w14:paraId="257885DD" w14:textId="77777777" w:rsidR="00B64BB2" w:rsidRPr="00CD4CD6" w:rsidRDefault="00B64BB2" w:rsidP="00B64BB2">
      <w:pPr>
        <w:spacing w:after="0" w:line="276" w:lineRule="auto"/>
        <w:jc w:val="both"/>
        <w:rPr>
          <w:rFonts w:ascii="Arial Narrow" w:hAnsi="Arial Narrow" w:cstheme="minorHAnsi"/>
          <w:b/>
          <w:bCs/>
          <w:i/>
          <w:sz w:val="20"/>
        </w:rPr>
      </w:pPr>
      <w:r w:rsidRPr="00CD4CD6">
        <w:rPr>
          <w:rFonts w:ascii="Arial Narrow" w:hAnsi="Arial Narrow" w:cstheme="minorHAnsi"/>
          <w:b/>
          <w:bCs/>
          <w:i/>
          <w:sz w:val="20"/>
        </w:rPr>
        <w:t>Veľkosť požiarnych úsekov</w:t>
      </w:r>
    </w:p>
    <w:p w14:paraId="1BB44621" w14:textId="3B526126" w:rsidR="00B64BB2" w:rsidRPr="00CD4CD6" w:rsidRDefault="00B64BB2" w:rsidP="00B64BB2">
      <w:pPr>
        <w:spacing w:after="120" w:line="276" w:lineRule="auto"/>
        <w:ind w:firstLine="708"/>
        <w:jc w:val="both"/>
        <w:rPr>
          <w:rFonts w:ascii="Arial Narrow" w:hAnsi="Arial Narrow" w:cstheme="minorHAnsi"/>
          <w:sz w:val="20"/>
        </w:rPr>
      </w:pPr>
      <w:r w:rsidRPr="008C7B77">
        <w:rPr>
          <w:rFonts w:ascii="Arial Narrow" w:hAnsi="Arial Narrow" w:cstheme="minorHAnsi"/>
          <w:sz w:val="20"/>
          <w:szCs w:val="20"/>
        </w:rPr>
        <w:t>Dovolen</w:t>
      </w:r>
      <w:r w:rsidR="00F633A1">
        <w:rPr>
          <w:rFonts w:ascii="Arial Narrow" w:hAnsi="Arial Narrow" w:cstheme="minorHAnsi"/>
          <w:sz w:val="20"/>
          <w:szCs w:val="20"/>
        </w:rPr>
        <w:t>á</w:t>
      </w:r>
      <w:r w:rsidRPr="008C7B77">
        <w:rPr>
          <w:rFonts w:ascii="Arial Narrow" w:hAnsi="Arial Narrow" w:cstheme="minorHAnsi"/>
          <w:sz w:val="20"/>
          <w:szCs w:val="20"/>
        </w:rPr>
        <w:t xml:space="preserve"> ploch</w:t>
      </w:r>
      <w:r w:rsidR="00F633A1">
        <w:rPr>
          <w:rFonts w:ascii="Arial Narrow" w:hAnsi="Arial Narrow" w:cstheme="minorHAnsi"/>
          <w:sz w:val="20"/>
          <w:szCs w:val="20"/>
        </w:rPr>
        <w:t>a</w:t>
      </w:r>
      <w:r w:rsidRPr="008C7B77">
        <w:rPr>
          <w:rFonts w:ascii="Arial Narrow" w:hAnsi="Arial Narrow" w:cstheme="minorHAnsi"/>
          <w:sz w:val="20"/>
          <w:szCs w:val="20"/>
        </w:rPr>
        <w:t xml:space="preserve"> požiarneho úseku N1.01 je určená v zmysle § 4 vyhl. MV SR 94/2004.</w:t>
      </w:r>
      <w:r w:rsidRPr="00CD4CD6">
        <w:rPr>
          <w:rFonts w:ascii="Arial Narrow" w:hAnsi="Arial Narrow" w:cstheme="minorHAnsi"/>
          <w:sz w:val="20"/>
        </w:rPr>
        <w:t xml:space="preserve"> </w:t>
      </w:r>
      <w:r>
        <w:rPr>
          <w:rFonts w:ascii="Arial Narrow" w:hAnsi="Arial Narrow" w:cstheme="minorHAnsi"/>
          <w:sz w:val="20"/>
        </w:rPr>
        <w:t xml:space="preserve">Dovolená plocha </w:t>
      </w:r>
      <w:r w:rsidRPr="00CD4CD6">
        <w:rPr>
          <w:rFonts w:ascii="Arial Narrow" w:hAnsi="Arial Narrow" w:cstheme="minorHAnsi"/>
          <w:sz w:val="20"/>
        </w:rPr>
        <w:t>požiarn</w:t>
      </w:r>
      <w:r w:rsidR="00F633A1">
        <w:rPr>
          <w:rFonts w:ascii="Arial Narrow" w:hAnsi="Arial Narrow" w:cstheme="minorHAnsi"/>
          <w:sz w:val="20"/>
        </w:rPr>
        <w:t>eho úseku</w:t>
      </w:r>
      <w:r w:rsidRPr="00CD4CD6">
        <w:rPr>
          <w:rFonts w:ascii="Arial Narrow" w:hAnsi="Arial Narrow" w:cstheme="minorHAnsi"/>
          <w:sz w:val="20"/>
        </w:rPr>
        <w:t xml:space="preserve"> je</w:t>
      </w:r>
      <w:r>
        <w:rPr>
          <w:rFonts w:ascii="Arial Narrow" w:hAnsi="Arial Narrow" w:cstheme="minorHAnsi"/>
          <w:sz w:val="20"/>
        </w:rPr>
        <w:t xml:space="preserve"> uvedená vo výpočtovej časti. </w:t>
      </w:r>
      <w:r w:rsidRPr="00CD4CD6">
        <w:rPr>
          <w:rFonts w:ascii="Arial Narrow" w:hAnsi="Arial Narrow" w:cstheme="minorHAnsi"/>
          <w:sz w:val="20"/>
        </w:rPr>
        <w:t xml:space="preserve"> </w:t>
      </w:r>
    </w:p>
    <w:p w14:paraId="5B031D43" w14:textId="77777777" w:rsidR="00B64BB2" w:rsidRPr="00CD4CD6" w:rsidRDefault="00B64BB2" w:rsidP="00B64BB2">
      <w:pPr>
        <w:spacing w:after="0" w:line="276" w:lineRule="auto"/>
        <w:jc w:val="both"/>
        <w:rPr>
          <w:rFonts w:ascii="Arial Narrow" w:hAnsi="Arial Narrow" w:cstheme="minorHAnsi"/>
          <w:b/>
          <w:bCs/>
          <w:i/>
          <w:sz w:val="20"/>
        </w:rPr>
      </w:pPr>
      <w:r w:rsidRPr="00CD4CD6">
        <w:rPr>
          <w:rFonts w:ascii="Arial Narrow" w:hAnsi="Arial Narrow" w:cstheme="minorHAnsi"/>
          <w:b/>
          <w:bCs/>
          <w:i/>
          <w:sz w:val="20"/>
        </w:rPr>
        <w:t>Počet požiarnych podlaží</w:t>
      </w:r>
    </w:p>
    <w:p w14:paraId="21867679" w14:textId="2A927901" w:rsidR="00B64BB2" w:rsidRPr="008C7B77" w:rsidRDefault="00B64BB2" w:rsidP="00B64BB2">
      <w:pPr>
        <w:spacing w:after="60" w:line="276" w:lineRule="auto"/>
        <w:ind w:firstLine="708"/>
        <w:jc w:val="both"/>
        <w:rPr>
          <w:rFonts w:ascii="Arial Narrow" w:hAnsi="Arial Narrow" w:cstheme="minorHAnsi"/>
          <w:sz w:val="20"/>
          <w:szCs w:val="20"/>
        </w:rPr>
      </w:pPr>
      <w:r w:rsidRPr="008C7B77">
        <w:rPr>
          <w:rFonts w:ascii="Arial Narrow" w:hAnsi="Arial Narrow" w:cstheme="minorHAnsi"/>
          <w:sz w:val="20"/>
          <w:szCs w:val="20"/>
        </w:rPr>
        <w:t xml:space="preserve">Počet požiarnych podlaží požiarneho úseku N1.01 je stanovený v zmysle § 6 vyhl. MV SR č. 94/ 2004 a čl. 4. 1. 1 písm. b) STN 92 0201-1. Viď výpočtová časť. </w:t>
      </w:r>
    </w:p>
    <w:p w14:paraId="13C938FE" w14:textId="77777777" w:rsidR="00B64BB2" w:rsidRPr="00CD4CD6" w:rsidRDefault="00B64BB2" w:rsidP="00B64BB2">
      <w:pPr>
        <w:pStyle w:val="Zkladntext"/>
        <w:spacing w:after="0" w:line="276" w:lineRule="auto"/>
        <w:jc w:val="both"/>
        <w:rPr>
          <w:rFonts w:ascii="Arial Narrow" w:hAnsi="Arial Narrow" w:cstheme="minorHAnsi"/>
          <w:b/>
          <w:bCs/>
          <w:i/>
          <w:sz w:val="20"/>
          <w:szCs w:val="22"/>
        </w:rPr>
      </w:pPr>
      <w:r w:rsidRPr="00CD4CD6">
        <w:rPr>
          <w:rFonts w:ascii="Arial Narrow" w:hAnsi="Arial Narrow" w:cstheme="minorHAnsi"/>
          <w:b/>
          <w:bCs/>
          <w:i/>
          <w:sz w:val="20"/>
          <w:szCs w:val="22"/>
        </w:rPr>
        <w:t>Určenie stupňa protipožiarnej bezpečnosti</w:t>
      </w:r>
    </w:p>
    <w:p w14:paraId="00BF5EB2" w14:textId="4A897BA6" w:rsidR="00B64BB2" w:rsidRPr="008C7B77" w:rsidRDefault="00B64BB2" w:rsidP="00B64BB2">
      <w:pPr>
        <w:spacing w:after="60" w:line="276" w:lineRule="auto"/>
        <w:ind w:firstLine="708"/>
        <w:jc w:val="both"/>
        <w:rPr>
          <w:rFonts w:ascii="Arial Narrow" w:hAnsi="Arial Narrow" w:cstheme="minorHAnsi"/>
          <w:sz w:val="20"/>
          <w:szCs w:val="20"/>
        </w:rPr>
      </w:pPr>
      <w:r w:rsidRPr="008C7B77">
        <w:rPr>
          <w:rFonts w:ascii="Arial Narrow" w:hAnsi="Arial Narrow" w:cstheme="minorHAnsi"/>
          <w:sz w:val="20"/>
          <w:szCs w:val="20"/>
        </w:rPr>
        <w:t>Stupeň protipožiarnej bezpečnosti požiarneho úseku N1.01 sa neurčuje v zmysle čl. 3.8 STN 92 0201-2. Požiarne úseky tvorí sklad v jednopodlažnej stavbe.</w:t>
      </w:r>
    </w:p>
    <w:p w14:paraId="13D71F28" w14:textId="4CE3A860" w:rsidR="00B64BB2" w:rsidRPr="00B64BB2" w:rsidRDefault="00B64BB2" w:rsidP="00B64BB2">
      <w:pPr>
        <w:pStyle w:val="Odsekzoznamu"/>
        <w:numPr>
          <w:ilvl w:val="0"/>
          <w:numId w:val="1"/>
        </w:numPr>
        <w:spacing w:before="240" w:after="120" w:line="276" w:lineRule="auto"/>
        <w:jc w:val="both"/>
        <w:rPr>
          <w:rFonts w:ascii="Arial Narrow" w:hAnsi="Arial Narrow" w:cstheme="minorHAnsi"/>
          <w:b/>
          <w:bCs/>
          <w:szCs w:val="20"/>
        </w:rPr>
      </w:pPr>
      <w:r w:rsidRPr="00B64BB2">
        <w:rPr>
          <w:rFonts w:ascii="Arial Narrow" w:hAnsi="Arial Narrow" w:cstheme="minorHAnsi"/>
          <w:b/>
          <w:bCs/>
          <w:szCs w:val="20"/>
        </w:rPr>
        <w:t>URČENIE POŽIADAVIEK NA KONŠTRUKCIE STAVBY</w:t>
      </w:r>
    </w:p>
    <w:p w14:paraId="4BED32A1" w14:textId="1A03DAB4" w:rsidR="00B64BB2" w:rsidRPr="008C7B77" w:rsidRDefault="00B64BB2" w:rsidP="00B64BB2">
      <w:pPr>
        <w:spacing w:after="60" w:line="276" w:lineRule="auto"/>
        <w:ind w:firstLine="708"/>
        <w:jc w:val="both"/>
        <w:rPr>
          <w:rFonts w:ascii="Arial Narrow" w:hAnsi="Arial Narrow" w:cstheme="minorHAnsi"/>
          <w:sz w:val="20"/>
          <w:szCs w:val="20"/>
        </w:rPr>
      </w:pPr>
      <w:r w:rsidRPr="008C7B77">
        <w:rPr>
          <w:rFonts w:ascii="Arial Narrow" w:hAnsi="Arial Narrow" w:cstheme="minorHAnsi"/>
          <w:sz w:val="20"/>
          <w:szCs w:val="20"/>
        </w:rPr>
        <w:t xml:space="preserve">Požiarna odolnosť sa neurčuje v zmysle § 38 ods. 3 vyhl. 94/2004. V zmysle § 43 ods. 6 je časť obvodovej steny, ktorá nespĺňa požiadavky na požiarnu odolnosť ani na druh konštrukčného prvku, požiarne otvorenou plochou. Nosné konštrukcie otvorených samostatne stojacich stavieb, ktoré tvoria iba jeden požiarny úsek, v ktorom nie je trvalé pracovné miesto, nemusia mať požiarnu odolnosť a môžu byť aj z konštrukčných prvkov druhu D3. </w:t>
      </w:r>
    </w:p>
    <w:p w14:paraId="1D2A6BC9" w14:textId="77777777" w:rsidR="00B64BB2" w:rsidRPr="005967A9" w:rsidRDefault="00B64BB2" w:rsidP="00B64BB2">
      <w:pPr>
        <w:spacing w:before="120" w:after="0" w:line="276" w:lineRule="auto"/>
        <w:rPr>
          <w:rFonts w:ascii="Arial Narrow" w:hAnsi="Arial Narrow" w:cstheme="minorHAnsi"/>
          <w:i/>
          <w:sz w:val="18"/>
          <w:u w:val="single"/>
        </w:rPr>
      </w:pPr>
      <w:r w:rsidRPr="005967A9">
        <w:rPr>
          <w:rFonts w:ascii="Arial Narrow" w:hAnsi="Arial Narrow" w:cstheme="minorHAnsi"/>
          <w:i/>
          <w:sz w:val="18"/>
          <w:u w:val="single"/>
        </w:rPr>
        <w:t xml:space="preserve">Požadované kritériá medzných stavov podľa STN 92 0201-2 a Vyhl. MV SR č. 94/2004 </w:t>
      </w:r>
      <w:proofErr w:type="spellStart"/>
      <w:r w:rsidRPr="005967A9">
        <w:rPr>
          <w:rFonts w:ascii="Arial Narrow" w:hAnsi="Arial Narrow" w:cstheme="minorHAnsi"/>
          <w:i/>
          <w:sz w:val="18"/>
          <w:u w:val="single"/>
        </w:rPr>
        <w:t>Z.z</w:t>
      </w:r>
      <w:proofErr w:type="spellEnd"/>
      <w:r w:rsidRPr="005967A9">
        <w:rPr>
          <w:rFonts w:ascii="Arial Narrow" w:hAnsi="Arial Narrow" w:cstheme="minorHAnsi"/>
          <w:i/>
          <w:sz w:val="18"/>
          <w:u w:val="single"/>
        </w:rPr>
        <w:t>. sú nasledujúce:</w:t>
      </w:r>
    </w:p>
    <w:p w14:paraId="7F75C01A" w14:textId="77777777" w:rsidR="00B64BB2" w:rsidRPr="005967A9" w:rsidRDefault="00B64BB2" w:rsidP="00B64BB2">
      <w:pPr>
        <w:spacing w:after="0" w:line="276" w:lineRule="auto"/>
        <w:rPr>
          <w:rFonts w:ascii="Arial Narrow" w:hAnsi="Arial Narrow" w:cstheme="minorHAnsi"/>
          <w:b/>
          <w:i/>
          <w:sz w:val="18"/>
        </w:rPr>
      </w:pPr>
      <w:r w:rsidRPr="005967A9">
        <w:rPr>
          <w:rFonts w:ascii="Arial Narrow" w:hAnsi="Arial Narrow" w:cstheme="minorHAnsi"/>
          <w:b/>
          <w:i/>
          <w:sz w:val="18"/>
        </w:rPr>
        <w:t xml:space="preserve">obvodové steny musia z vnútornej strany spĺňať kritériá: </w:t>
      </w:r>
    </w:p>
    <w:p w14:paraId="6357AD97" w14:textId="77777777" w:rsidR="00B64BB2" w:rsidRPr="005967A9" w:rsidRDefault="00B64BB2" w:rsidP="00B64BB2">
      <w:pPr>
        <w:spacing w:after="0" w:line="276" w:lineRule="auto"/>
        <w:rPr>
          <w:rFonts w:ascii="Arial Narrow" w:hAnsi="Arial Narrow" w:cstheme="minorHAnsi"/>
          <w:i/>
          <w:sz w:val="18"/>
        </w:rPr>
      </w:pPr>
      <w:r w:rsidRPr="005967A9">
        <w:rPr>
          <w:rFonts w:ascii="Arial Narrow" w:hAnsi="Arial Narrow" w:cstheme="minorHAnsi"/>
          <w:b/>
          <w:i/>
          <w:sz w:val="18"/>
        </w:rPr>
        <w:t xml:space="preserve">REW </w:t>
      </w:r>
      <w:r w:rsidRPr="005967A9">
        <w:rPr>
          <w:rFonts w:ascii="Arial Narrow" w:hAnsi="Arial Narrow" w:cstheme="minorHAnsi"/>
          <w:i/>
          <w:sz w:val="18"/>
        </w:rPr>
        <w:t>– obvodové steny zabezpečujúce stabilitu stavby</w:t>
      </w:r>
    </w:p>
    <w:p w14:paraId="35AB5558" w14:textId="77777777" w:rsidR="00B64BB2" w:rsidRPr="005967A9" w:rsidRDefault="00B64BB2" w:rsidP="00B64BB2">
      <w:pPr>
        <w:spacing w:after="0" w:line="276" w:lineRule="auto"/>
        <w:rPr>
          <w:rFonts w:ascii="Arial Narrow" w:hAnsi="Arial Narrow" w:cstheme="minorHAnsi"/>
          <w:b/>
          <w:i/>
          <w:sz w:val="18"/>
        </w:rPr>
      </w:pPr>
      <w:r w:rsidRPr="005967A9">
        <w:rPr>
          <w:rFonts w:ascii="Arial Narrow" w:hAnsi="Arial Narrow" w:cstheme="minorHAnsi"/>
          <w:b/>
          <w:i/>
          <w:sz w:val="18"/>
        </w:rPr>
        <w:t xml:space="preserve">obvodové steny musia z vonkajšej strany spĺňať kritériá: </w:t>
      </w:r>
    </w:p>
    <w:p w14:paraId="08F5E27F" w14:textId="77777777" w:rsidR="00B64BB2" w:rsidRPr="005967A9" w:rsidRDefault="00B64BB2" w:rsidP="00B64BB2">
      <w:pPr>
        <w:spacing w:after="0" w:line="276" w:lineRule="auto"/>
        <w:rPr>
          <w:rFonts w:ascii="Arial Narrow" w:hAnsi="Arial Narrow" w:cstheme="minorHAnsi"/>
          <w:i/>
          <w:sz w:val="18"/>
        </w:rPr>
      </w:pPr>
      <w:r w:rsidRPr="005967A9">
        <w:rPr>
          <w:rFonts w:ascii="Arial Narrow" w:hAnsi="Arial Narrow" w:cstheme="minorHAnsi"/>
          <w:b/>
          <w:i/>
          <w:sz w:val="18"/>
        </w:rPr>
        <w:t xml:space="preserve">REI </w:t>
      </w:r>
      <w:r w:rsidRPr="005967A9">
        <w:rPr>
          <w:rFonts w:ascii="Arial Narrow" w:hAnsi="Arial Narrow" w:cstheme="minorHAnsi"/>
          <w:i/>
          <w:sz w:val="18"/>
        </w:rPr>
        <w:t>– obvodové steny zabezpečujúce stabilitu stavby</w:t>
      </w:r>
    </w:p>
    <w:p w14:paraId="5BFEC73A" w14:textId="77777777" w:rsidR="00B64BB2" w:rsidRPr="005967A9" w:rsidRDefault="00B64BB2" w:rsidP="00B64BB2">
      <w:pPr>
        <w:spacing w:after="0" w:line="276" w:lineRule="auto"/>
        <w:rPr>
          <w:rFonts w:ascii="Arial Narrow" w:hAnsi="Arial Narrow" w:cstheme="minorHAnsi"/>
          <w:b/>
          <w:i/>
          <w:sz w:val="18"/>
        </w:rPr>
      </w:pPr>
      <w:r w:rsidRPr="005967A9">
        <w:rPr>
          <w:rFonts w:ascii="Arial Narrow" w:hAnsi="Arial Narrow" w:cstheme="minorHAnsi"/>
          <w:b/>
          <w:i/>
          <w:sz w:val="18"/>
        </w:rPr>
        <w:t>požiarny strop:</w:t>
      </w:r>
    </w:p>
    <w:p w14:paraId="582DD289" w14:textId="77777777" w:rsidR="00B64BB2" w:rsidRPr="005967A9" w:rsidRDefault="00B64BB2" w:rsidP="00B64BB2">
      <w:pPr>
        <w:spacing w:after="0" w:line="276" w:lineRule="auto"/>
        <w:rPr>
          <w:rFonts w:ascii="Arial Narrow" w:hAnsi="Arial Narrow" w:cstheme="minorHAnsi"/>
          <w:i/>
          <w:sz w:val="18"/>
        </w:rPr>
      </w:pPr>
      <w:r w:rsidRPr="005967A9">
        <w:rPr>
          <w:rFonts w:ascii="Arial Narrow" w:hAnsi="Arial Narrow" w:cstheme="minorHAnsi"/>
          <w:b/>
          <w:i/>
          <w:sz w:val="18"/>
        </w:rPr>
        <w:t>REI</w:t>
      </w:r>
      <w:r w:rsidRPr="005967A9">
        <w:rPr>
          <w:rFonts w:ascii="Arial Narrow" w:hAnsi="Arial Narrow" w:cstheme="minorHAnsi"/>
          <w:i/>
          <w:sz w:val="18"/>
        </w:rPr>
        <w:t xml:space="preserve"> – nosný požiarny strop </w:t>
      </w:r>
    </w:p>
    <w:p w14:paraId="70F2C322" w14:textId="77777777" w:rsidR="00B64BB2" w:rsidRPr="005967A9" w:rsidRDefault="00B64BB2" w:rsidP="00B64BB2">
      <w:pPr>
        <w:spacing w:after="0" w:line="276" w:lineRule="auto"/>
        <w:rPr>
          <w:rFonts w:ascii="Arial Narrow" w:hAnsi="Arial Narrow" w:cstheme="minorHAnsi"/>
          <w:i/>
          <w:sz w:val="18"/>
        </w:rPr>
      </w:pPr>
      <w:r w:rsidRPr="005967A9">
        <w:rPr>
          <w:rFonts w:ascii="Arial Narrow" w:hAnsi="Arial Narrow" w:cstheme="minorHAnsi"/>
          <w:b/>
          <w:i/>
          <w:sz w:val="18"/>
        </w:rPr>
        <w:t>EI-</w:t>
      </w:r>
      <w:r w:rsidRPr="005967A9">
        <w:rPr>
          <w:rFonts w:ascii="Arial Narrow" w:hAnsi="Arial Narrow" w:cstheme="minorHAnsi"/>
          <w:i/>
          <w:sz w:val="18"/>
        </w:rPr>
        <w:t xml:space="preserve"> nenosný požiarny strop</w:t>
      </w:r>
    </w:p>
    <w:p w14:paraId="2C34E8BD" w14:textId="77777777" w:rsidR="00B64BB2" w:rsidRPr="005967A9" w:rsidRDefault="00B64BB2" w:rsidP="00B64BB2">
      <w:pPr>
        <w:spacing w:after="0" w:line="276" w:lineRule="auto"/>
        <w:rPr>
          <w:rFonts w:ascii="Arial Narrow" w:hAnsi="Arial Narrow" w:cstheme="minorHAnsi"/>
          <w:b/>
          <w:i/>
          <w:sz w:val="18"/>
        </w:rPr>
      </w:pPr>
      <w:r w:rsidRPr="005967A9">
        <w:rPr>
          <w:rFonts w:ascii="Arial Narrow" w:hAnsi="Arial Narrow" w:cstheme="minorHAnsi"/>
          <w:b/>
          <w:i/>
          <w:sz w:val="18"/>
        </w:rPr>
        <w:t xml:space="preserve">nosné konštrukcie vo vnútri a mimo požiarneho úseku: </w:t>
      </w:r>
    </w:p>
    <w:p w14:paraId="04D15808" w14:textId="77777777" w:rsidR="00B64BB2" w:rsidRPr="005967A9" w:rsidRDefault="00B64BB2" w:rsidP="00B64BB2">
      <w:pPr>
        <w:spacing w:after="0" w:line="276" w:lineRule="auto"/>
        <w:rPr>
          <w:rFonts w:ascii="Arial Narrow" w:hAnsi="Arial Narrow" w:cstheme="minorHAnsi"/>
          <w:i/>
          <w:sz w:val="18"/>
        </w:rPr>
      </w:pPr>
      <w:r w:rsidRPr="005967A9">
        <w:rPr>
          <w:rFonts w:ascii="Arial Narrow" w:hAnsi="Arial Narrow" w:cstheme="minorHAnsi"/>
          <w:b/>
          <w:i/>
          <w:sz w:val="18"/>
        </w:rPr>
        <w:t>R</w:t>
      </w:r>
      <w:r w:rsidRPr="005967A9">
        <w:rPr>
          <w:rFonts w:ascii="Arial Narrow" w:hAnsi="Arial Narrow" w:cstheme="minorHAnsi"/>
          <w:i/>
          <w:sz w:val="18"/>
        </w:rPr>
        <w:t xml:space="preserve">- zabezpečujúce stabilitu stavby alebo jej časti (prievlaky, nosníky) </w:t>
      </w:r>
    </w:p>
    <w:p w14:paraId="6E2AD550" w14:textId="77777777" w:rsidR="00B64BB2" w:rsidRPr="005967A9" w:rsidRDefault="00B64BB2" w:rsidP="00B64BB2">
      <w:pPr>
        <w:spacing w:after="0" w:line="276" w:lineRule="auto"/>
        <w:rPr>
          <w:rFonts w:ascii="Arial Narrow" w:hAnsi="Arial Narrow" w:cstheme="minorHAnsi"/>
          <w:i/>
          <w:sz w:val="18"/>
        </w:rPr>
      </w:pPr>
      <w:r w:rsidRPr="005967A9">
        <w:rPr>
          <w:rFonts w:ascii="Arial Narrow" w:hAnsi="Arial Narrow" w:cstheme="minorHAnsi"/>
          <w:b/>
          <w:i/>
          <w:sz w:val="18"/>
        </w:rPr>
        <w:t>RE</w:t>
      </w:r>
      <w:r w:rsidRPr="005967A9">
        <w:rPr>
          <w:rFonts w:ascii="Arial Narrow" w:hAnsi="Arial Narrow" w:cstheme="minorHAnsi"/>
          <w:i/>
          <w:sz w:val="18"/>
        </w:rPr>
        <w:t>- zabezpečujúce stabilitu stavby alebo jej časti (steny)</w:t>
      </w:r>
    </w:p>
    <w:p w14:paraId="7C4656EB" w14:textId="77777777" w:rsidR="00B64BB2" w:rsidRPr="005967A9" w:rsidRDefault="00B64BB2" w:rsidP="00B64BB2">
      <w:pPr>
        <w:spacing w:after="0" w:line="276" w:lineRule="auto"/>
        <w:jc w:val="both"/>
        <w:rPr>
          <w:rFonts w:ascii="Arial Narrow" w:hAnsi="Arial Narrow" w:cs="Times New Roman"/>
          <w:b/>
          <w:i/>
          <w:sz w:val="18"/>
          <w:szCs w:val="20"/>
        </w:rPr>
      </w:pPr>
      <w:r w:rsidRPr="005967A9">
        <w:rPr>
          <w:rFonts w:ascii="Arial Narrow" w:hAnsi="Arial Narrow" w:cs="Times New Roman"/>
          <w:b/>
          <w:i/>
          <w:sz w:val="18"/>
          <w:szCs w:val="20"/>
        </w:rPr>
        <w:t>požiarne dvere a uzávery:</w:t>
      </w:r>
    </w:p>
    <w:p w14:paraId="31817520" w14:textId="77777777" w:rsidR="00B64BB2" w:rsidRPr="005967A9" w:rsidRDefault="00B64BB2" w:rsidP="00B64BB2">
      <w:pPr>
        <w:spacing w:after="60" w:line="276" w:lineRule="auto"/>
        <w:jc w:val="both"/>
        <w:rPr>
          <w:rFonts w:ascii="Arial Narrow" w:hAnsi="Arial Narrow" w:cs="Times New Roman"/>
          <w:i/>
          <w:sz w:val="18"/>
          <w:szCs w:val="20"/>
        </w:rPr>
      </w:pPr>
      <w:r w:rsidRPr="005967A9">
        <w:rPr>
          <w:rFonts w:ascii="Arial Narrow" w:hAnsi="Arial Narrow" w:cs="Times New Roman"/>
          <w:b/>
          <w:i/>
          <w:sz w:val="18"/>
          <w:szCs w:val="20"/>
        </w:rPr>
        <w:t>EI, EW, C</w:t>
      </w:r>
      <w:r>
        <w:rPr>
          <w:rFonts w:ascii="Arial Narrow" w:hAnsi="Arial Narrow" w:cs="Times New Roman"/>
          <w:b/>
          <w:i/>
          <w:sz w:val="18"/>
          <w:szCs w:val="20"/>
        </w:rPr>
        <w:t>, S</w:t>
      </w:r>
      <w:r w:rsidRPr="005967A9">
        <w:rPr>
          <w:rFonts w:ascii="Arial Narrow" w:hAnsi="Arial Narrow" w:cs="Times New Roman"/>
          <w:b/>
          <w:i/>
          <w:sz w:val="18"/>
          <w:szCs w:val="20"/>
        </w:rPr>
        <w:t xml:space="preserve"> –</w:t>
      </w:r>
      <w:r w:rsidRPr="005967A9">
        <w:rPr>
          <w:rFonts w:ascii="Arial Narrow" w:hAnsi="Arial Narrow" w:cs="Times New Roman"/>
          <w:i/>
          <w:sz w:val="18"/>
          <w:szCs w:val="20"/>
        </w:rPr>
        <w:t xml:space="preserve"> požiarne dvere</w:t>
      </w:r>
    </w:p>
    <w:p w14:paraId="4E771AED" w14:textId="77777777" w:rsidR="00B64BB2" w:rsidRPr="005967A9" w:rsidRDefault="00B64BB2" w:rsidP="00B64BB2">
      <w:pPr>
        <w:spacing w:after="120" w:line="276" w:lineRule="auto"/>
        <w:jc w:val="both"/>
        <w:rPr>
          <w:rFonts w:ascii="Arial Narrow" w:hAnsi="Arial Narrow" w:cs="Times New Roman"/>
          <w:i/>
          <w:sz w:val="18"/>
          <w:szCs w:val="20"/>
        </w:rPr>
      </w:pPr>
      <w:r w:rsidRPr="005967A9">
        <w:rPr>
          <w:rFonts w:ascii="Arial Narrow" w:hAnsi="Arial Narrow" w:cs="Times New Roman"/>
          <w:b/>
          <w:i/>
          <w:sz w:val="18"/>
          <w:szCs w:val="20"/>
        </w:rPr>
        <w:t>M –</w:t>
      </w:r>
      <w:r w:rsidRPr="005967A9">
        <w:rPr>
          <w:rFonts w:ascii="Arial Narrow" w:hAnsi="Arial Narrow" w:cs="Times New Roman"/>
          <w:i/>
          <w:sz w:val="18"/>
          <w:szCs w:val="20"/>
        </w:rPr>
        <w:t xml:space="preserve"> zvláštne mechanické vplyvy</w:t>
      </w:r>
    </w:p>
    <w:p w14:paraId="4B6A6A88" w14:textId="77777777" w:rsidR="00B64BB2" w:rsidRPr="005967A9" w:rsidRDefault="00B64BB2" w:rsidP="00B64BB2">
      <w:pPr>
        <w:spacing w:after="0" w:line="276" w:lineRule="auto"/>
        <w:rPr>
          <w:rFonts w:ascii="Arial Narrow" w:hAnsi="Arial Narrow" w:cstheme="minorHAnsi"/>
          <w:i/>
          <w:sz w:val="18"/>
          <w:u w:val="single"/>
        </w:rPr>
      </w:pPr>
    </w:p>
    <w:p w14:paraId="1834E826" w14:textId="77777777" w:rsidR="00B64BB2" w:rsidRPr="005967A9" w:rsidRDefault="00B64BB2" w:rsidP="00B64BB2">
      <w:pPr>
        <w:spacing w:after="0" w:line="276" w:lineRule="auto"/>
        <w:rPr>
          <w:rFonts w:ascii="Arial Narrow" w:hAnsi="Arial Narrow" w:cstheme="minorHAnsi"/>
          <w:i/>
          <w:sz w:val="18"/>
          <w:u w:val="single"/>
        </w:rPr>
      </w:pPr>
      <w:r w:rsidRPr="005967A9">
        <w:rPr>
          <w:rFonts w:ascii="Arial Narrow" w:hAnsi="Arial Narrow" w:cstheme="minorHAnsi"/>
          <w:i/>
          <w:sz w:val="18"/>
          <w:u w:val="single"/>
        </w:rPr>
        <w:t>Vysvetlivky:</w:t>
      </w:r>
    </w:p>
    <w:p w14:paraId="40BAB4B3" w14:textId="77777777" w:rsidR="00B64BB2" w:rsidRPr="005967A9" w:rsidRDefault="00B64BB2" w:rsidP="00B64BB2">
      <w:pPr>
        <w:spacing w:after="0" w:line="276" w:lineRule="auto"/>
        <w:rPr>
          <w:rFonts w:ascii="Arial Narrow" w:hAnsi="Arial Narrow" w:cstheme="minorHAnsi"/>
          <w:i/>
          <w:sz w:val="18"/>
        </w:rPr>
      </w:pPr>
      <w:r w:rsidRPr="005967A9">
        <w:rPr>
          <w:rFonts w:ascii="Arial Narrow" w:hAnsi="Arial Narrow" w:cstheme="minorHAnsi"/>
          <w:i/>
          <w:sz w:val="18"/>
        </w:rPr>
        <w:t>nosnosť a stabilita – R</w:t>
      </w:r>
    </w:p>
    <w:p w14:paraId="55B30806" w14:textId="77777777" w:rsidR="00B64BB2" w:rsidRPr="005967A9" w:rsidRDefault="00B64BB2" w:rsidP="00B64BB2">
      <w:pPr>
        <w:spacing w:after="0" w:line="276" w:lineRule="auto"/>
        <w:rPr>
          <w:rFonts w:ascii="Arial Narrow" w:hAnsi="Arial Narrow" w:cstheme="minorHAnsi"/>
          <w:i/>
          <w:sz w:val="18"/>
        </w:rPr>
      </w:pPr>
      <w:r w:rsidRPr="005967A9">
        <w:rPr>
          <w:rFonts w:ascii="Arial Narrow" w:hAnsi="Arial Narrow" w:cstheme="minorHAnsi"/>
          <w:i/>
          <w:sz w:val="18"/>
        </w:rPr>
        <w:t>celistvosť – E</w:t>
      </w:r>
    </w:p>
    <w:p w14:paraId="5047B594" w14:textId="77777777" w:rsidR="00B64BB2" w:rsidRPr="005967A9" w:rsidRDefault="00B64BB2" w:rsidP="00B64BB2">
      <w:pPr>
        <w:spacing w:after="0" w:line="276" w:lineRule="auto"/>
        <w:rPr>
          <w:rFonts w:ascii="Arial Narrow" w:hAnsi="Arial Narrow" w:cstheme="minorHAnsi"/>
          <w:i/>
          <w:sz w:val="18"/>
        </w:rPr>
      </w:pPr>
      <w:r w:rsidRPr="005967A9">
        <w:rPr>
          <w:rFonts w:ascii="Arial Narrow" w:hAnsi="Arial Narrow" w:cstheme="minorHAnsi"/>
          <w:i/>
          <w:sz w:val="18"/>
        </w:rPr>
        <w:t>tepelná izolácia – I</w:t>
      </w:r>
    </w:p>
    <w:p w14:paraId="6A0DE214" w14:textId="77777777" w:rsidR="00B64BB2" w:rsidRPr="005967A9" w:rsidRDefault="00B64BB2" w:rsidP="00B64BB2">
      <w:pPr>
        <w:spacing w:after="0" w:line="276" w:lineRule="auto"/>
        <w:rPr>
          <w:rFonts w:ascii="Arial Narrow" w:hAnsi="Arial Narrow" w:cstheme="minorHAnsi"/>
          <w:i/>
          <w:sz w:val="18"/>
        </w:rPr>
      </w:pPr>
      <w:r w:rsidRPr="005967A9">
        <w:rPr>
          <w:rFonts w:ascii="Arial Narrow" w:hAnsi="Arial Narrow" w:cstheme="minorHAnsi"/>
          <w:i/>
          <w:sz w:val="18"/>
        </w:rPr>
        <w:t>izolácia riadená radiáciou – W</w:t>
      </w:r>
    </w:p>
    <w:p w14:paraId="31A70803" w14:textId="77777777" w:rsidR="00B64BB2" w:rsidRPr="005967A9" w:rsidRDefault="00B64BB2" w:rsidP="00B64BB2">
      <w:pPr>
        <w:spacing w:after="0" w:line="276" w:lineRule="auto"/>
        <w:rPr>
          <w:rFonts w:ascii="Arial Narrow" w:hAnsi="Arial Narrow" w:cstheme="minorHAnsi"/>
          <w:i/>
          <w:sz w:val="18"/>
        </w:rPr>
      </w:pPr>
      <w:r w:rsidRPr="005967A9">
        <w:rPr>
          <w:rFonts w:ascii="Arial Narrow" w:hAnsi="Arial Narrow" w:cstheme="minorHAnsi"/>
          <w:i/>
          <w:sz w:val="18"/>
        </w:rPr>
        <w:lastRenderedPageBreak/>
        <w:t>predpokladané zvláštne mechanické vplyvy – M</w:t>
      </w:r>
    </w:p>
    <w:p w14:paraId="6FEB2065" w14:textId="77777777" w:rsidR="00B64BB2" w:rsidRPr="005967A9" w:rsidRDefault="00B64BB2" w:rsidP="00B64BB2">
      <w:pPr>
        <w:spacing w:after="0" w:line="276" w:lineRule="auto"/>
        <w:rPr>
          <w:rFonts w:ascii="Arial Narrow" w:hAnsi="Arial Narrow" w:cstheme="minorHAnsi"/>
          <w:i/>
          <w:sz w:val="18"/>
        </w:rPr>
      </w:pPr>
      <w:r w:rsidRPr="005967A9">
        <w:rPr>
          <w:rFonts w:ascii="Arial Narrow" w:hAnsi="Arial Narrow" w:cstheme="minorHAnsi"/>
          <w:i/>
          <w:sz w:val="18"/>
        </w:rPr>
        <w:t>uzáver vybavený automatickým zatváracím zariadením – C</w:t>
      </w:r>
    </w:p>
    <w:p w14:paraId="2A46C392" w14:textId="77777777" w:rsidR="00B64BB2" w:rsidRPr="005967A9" w:rsidRDefault="00B64BB2" w:rsidP="00B64BB2">
      <w:pPr>
        <w:spacing w:after="0" w:line="276" w:lineRule="auto"/>
        <w:rPr>
          <w:rFonts w:ascii="Arial Narrow" w:hAnsi="Arial Narrow" w:cstheme="minorHAnsi"/>
          <w:i/>
          <w:sz w:val="18"/>
        </w:rPr>
      </w:pPr>
      <w:r w:rsidRPr="005967A9">
        <w:rPr>
          <w:rFonts w:ascii="Arial Narrow" w:hAnsi="Arial Narrow" w:cstheme="minorHAnsi"/>
          <w:i/>
          <w:sz w:val="18"/>
        </w:rPr>
        <w:t>konštrukcie s osobitným obmedzením prieniku dymu – S.</w:t>
      </w:r>
    </w:p>
    <w:p w14:paraId="77C97BB2" w14:textId="77777777" w:rsidR="00B64BB2" w:rsidRPr="005967A9" w:rsidRDefault="00B64BB2" w:rsidP="00B64BB2">
      <w:pPr>
        <w:spacing w:after="0" w:line="276" w:lineRule="auto"/>
        <w:rPr>
          <w:rFonts w:ascii="Arial Narrow" w:hAnsi="Arial Narrow" w:cstheme="minorHAnsi"/>
          <w:i/>
          <w:sz w:val="18"/>
        </w:rPr>
      </w:pPr>
      <w:r w:rsidRPr="005967A9">
        <w:rPr>
          <w:rFonts w:ascii="Arial Narrow" w:hAnsi="Arial Narrow" w:cstheme="minorHAnsi"/>
          <w:i/>
          <w:sz w:val="18"/>
        </w:rPr>
        <w:t>požiarne uzávery sa členia na:</w:t>
      </w:r>
      <w:r>
        <w:rPr>
          <w:rFonts w:ascii="Arial Narrow" w:hAnsi="Arial Narrow" w:cstheme="minorHAnsi"/>
          <w:i/>
          <w:sz w:val="18"/>
        </w:rPr>
        <w:tab/>
      </w:r>
      <w:r w:rsidRPr="005967A9">
        <w:rPr>
          <w:rFonts w:ascii="Arial Narrow" w:hAnsi="Arial Narrow" w:cstheme="minorHAnsi"/>
          <w:i/>
          <w:sz w:val="18"/>
        </w:rPr>
        <w:tab/>
        <w:t>- brániace šíreniu tepla - typ EI (predtým PB)</w:t>
      </w:r>
    </w:p>
    <w:p w14:paraId="079B5CB2" w14:textId="77777777" w:rsidR="00B64BB2" w:rsidRPr="005967A9" w:rsidRDefault="00B64BB2" w:rsidP="00B64BB2">
      <w:pPr>
        <w:spacing w:after="0" w:line="276" w:lineRule="auto"/>
        <w:ind w:left="2124" w:firstLine="708"/>
        <w:rPr>
          <w:rFonts w:ascii="Arial Narrow" w:hAnsi="Arial Narrow" w:cstheme="minorHAnsi"/>
          <w:i/>
          <w:sz w:val="18"/>
        </w:rPr>
      </w:pPr>
      <w:r w:rsidRPr="005967A9">
        <w:rPr>
          <w:rFonts w:ascii="Arial Narrow" w:hAnsi="Arial Narrow" w:cstheme="minorHAnsi"/>
          <w:i/>
          <w:sz w:val="18"/>
        </w:rPr>
        <w:t xml:space="preserve">- obmedzujúce šírenie tepla - typ EW (predtým PO) </w:t>
      </w:r>
    </w:p>
    <w:p w14:paraId="6E3FC40C" w14:textId="77777777" w:rsidR="00B64BB2" w:rsidRPr="005967A9" w:rsidRDefault="00B64BB2" w:rsidP="00B64BB2">
      <w:pPr>
        <w:spacing w:after="60" w:line="276" w:lineRule="auto"/>
        <w:ind w:left="2124" w:firstLine="708"/>
        <w:rPr>
          <w:rFonts w:ascii="Arial Narrow" w:hAnsi="Arial Narrow" w:cstheme="minorHAnsi"/>
          <w:i/>
          <w:sz w:val="18"/>
        </w:rPr>
      </w:pPr>
      <w:r w:rsidRPr="005967A9">
        <w:rPr>
          <w:rFonts w:ascii="Arial Narrow" w:hAnsi="Arial Narrow" w:cstheme="minorHAnsi"/>
          <w:i/>
          <w:sz w:val="18"/>
        </w:rPr>
        <w:t>- tesné proti prieniku dymu - typ S (predtým K)</w:t>
      </w:r>
    </w:p>
    <w:p w14:paraId="2C5FD08B" w14:textId="4F381592" w:rsidR="00B64BB2" w:rsidRPr="00B64BB2" w:rsidRDefault="00B64BB2" w:rsidP="00B64BB2">
      <w:pPr>
        <w:spacing w:line="276" w:lineRule="auto"/>
        <w:ind w:firstLine="708"/>
        <w:jc w:val="both"/>
        <w:rPr>
          <w:rFonts w:ascii="Arial Narrow" w:hAnsi="Arial Narrow" w:cstheme="minorHAnsi"/>
          <w:i/>
          <w:sz w:val="18"/>
        </w:rPr>
      </w:pPr>
      <w:r w:rsidRPr="005967A9">
        <w:rPr>
          <w:rFonts w:ascii="Arial Narrow" w:hAnsi="Arial Narrow" w:cstheme="minorHAnsi"/>
          <w:b/>
          <w:i/>
          <w:sz w:val="18"/>
        </w:rPr>
        <w:t>Konštrukčný prvok druhu D1</w:t>
      </w:r>
      <w:r w:rsidRPr="005967A9">
        <w:rPr>
          <w:rFonts w:ascii="Arial Narrow" w:hAnsi="Arial Narrow" w:cstheme="minorHAnsi"/>
          <w:i/>
          <w:sz w:val="18"/>
        </w:rPr>
        <w:t xml:space="preserve"> je konštrukcia, ktorá počas požadovanej požiarnej odolnosti nezvyšujú intenzitu požiaru, pretože stavebné materiály alebo komponenty, z ktorých sú zhotovené, majú triedu reakcie na oheň A1 alebo A2, alebo stavebné materiály alebo komponenty s triedou reakcie na oheň inou ako A1 alebo A2, ktoré nezabezpečujú nosnosť a stabilitu konštrukčného prvku, sú uzavreté stavebnými materiálmi alebo komponentmi s triedou reakcie na oheň A1 alebo A2 tak, že v požadovanom čase požiarnej odolnosti sa nezapália a neuvoľňuje sa z nich teplo. </w:t>
      </w:r>
      <w:r w:rsidRPr="005967A9">
        <w:rPr>
          <w:rFonts w:ascii="Arial Narrow" w:hAnsi="Arial Narrow" w:cstheme="minorHAnsi"/>
          <w:b/>
          <w:i/>
          <w:sz w:val="18"/>
        </w:rPr>
        <w:t>Konštrukčný prvok druhu D2</w:t>
      </w:r>
      <w:r w:rsidRPr="005967A9">
        <w:rPr>
          <w:rFonts w:ascii="Arial Narrow" w:hAnsi="Arial Narrow" w:cstheme="minorHAnsi"/>
          <w:i/>
          <w:sz w:val="18"/>
        </w:rPr>
        <w:t xml:space="preserve"> je konštrukcia, ktorá počas požadovanej požiarnej odolnosti nezvyšujú intenzitu požiaru, pretože stavebné materiály alebo komponenty s triedou reakcie na oheň inou ako A1 alebo A2 sú uzavreté stavebnými materiálmi alebo komponentmi s triedou reakcie na oheň A1 alebo A2 tak, že v požadovanom čase požiarnej odolnosti sa nezapália a neuvoľňuje sa z nich teplo. Horľavé materiály a komponenty uzavreté vo vnútri konštrukčných prvkov druhu D1 a D2 nesmú počas požadovanej doby požiarnej odolnosti dosiahnuť teplotu vzplanutia; ak táto nie je jednoznačne určená, teplota vzplanutia je 180 °C. Čas potrebný na dosiahnutie teploty vzplanutia je možné preukázať experimentálne alebo výpočtom. </w:t>
      </w:r>
      <w:r w:rsidRPr="005967A9">
        <w:rPr>
          <w:rFonts w:ascii="Arial Narrow" w:hAnsi="Arial Narrow" w:cstheme="minorHAnsi"/>
          <w:b/>
          <w:i/>
          <w:sz w:val="18"/>
        </w:rPr>
        <w:t>Konštrukčný prvok druhu D3</w:t>
      </w:r>
      <w:r w:rsidRPr="005967A9">
        <w:rPr>
          <w:rFonts w:ascii="Arial Narrow" w:hAnsi="Arial Narrow" w:cstheme="minorHAnsi"/>
          <w:i/>
          <w:sz w:val="18"/>
        </w:rPr>
        <w:t xml:space="preserve"> je konštrukcia, ktorá počas požadovanej požiarnej odolnosti môžu zapáliť a zvyšovať intenzitu požiaru a nemožno ich posudzovať ako konštrukčné prvky druhu D1 alebo druhu D2.</w:t>
      </w:r>
    </w:p>
    <w:p w14:paraId="1BEC59E9" w14:textId="77777777" w:rsidR="008332A4" w:rsidRPr="006F1BEF" w:rsidRDefault="006F1BEF" w:rsidP="00C80BEC">
      <w:pPr>
        <w:pStyle w:val="Odsekzoznamu"/>
        <w:numPr>
          <w:ilvl w:val="0"/>
          <w:numId w:val="1"/>
        </w:numPr>
        <w:spacing w:before="240" w:after="120" w:line="276" w:lineRule="auto"/>
        <w:rPr>
          <w:rFonts w:ascii="Arial Narrow" w:hAnsi="Arial Narrow" w:cstheme="minorHAnsi"/>
          <w:b/>
          <w:bCs/>
          <w:szCs w:val="20"/>
        </w:rPr>
      </w:pPr>
      <w:r w:rsidRPr="00065BD1">
        <w:rPr>
          <w:rFonts w:ascii="Arial Narrow" w:hAnsi="Arial Narrow" w:cstheme="minorHAnsi"/>
          <w:b/>
          <w:bCs/>
          <w:szCs w:val="20"/>
        </w:rPr>
        <w:t>BEZPEČENIE EVAKUÁCIE OSÔB, URČENIE POŽIADAVIEK NA ÚNIKOVÉ CESTY</w:t>
      </w:r>
    </w:p>
    <w:p w14:paraId="1121124F" w14:textId="7F979100" w:rsidR="00B64BB2" w:rsidRDefault="00B64BB2" w:rsidP="00B64BB2">
      <w:pPr>
        <w:spacing w:line="276" w:lineRule="auto"/>
        <w:ind w:firstLine="708"/>
        <w:jc w:val="both"/>
        <w:rPr>
          <w:rFonts w:ascii="Arial Narrow" w:hAnsi="Arial Narrow" w:cstheme="minorHAnsi"/>
          <w:sz w:val="20"/>
        </w:rPr>
      </w:pPr>
      <w:r w:rsidRPr="00CD4CD6">
        <w:rPr>
          <w:rFonts w:ascii="Arial Narrow" w:hAnsi="Arial Narrow" w:cstheme="minorHAnsi"/>
          <w:sz w:val="20"/>
        </w:rPr>
        <w:t>Pri preverovaní únikových ciest sa postupovalo v súlade s čl. 10.3.1 STN 92 0201 – 3</w:t>
      </w:r>
      <w:r>
        <w:rPr>
          <w:rFonts w:ascii="Arial Narrow" w:hAnsi="Arial Narrow" w:cstheme="minorHAnsi"/>
          <w:sz w:val="20"/>
        </w:rPr>
        <w:t>.</w:t>
      </w:r>
      <w:r w:rsidRPr="00B64BB2">
        <w:rPr>
          <w:rFonts w:ascii="Arial Narrow" w:hAnsi="Arial Narrow" w:cs="Times New Roman"/>
          <w:bCs/>
          <w:sz w:val="20"/>
        </w:rPr>
        <w:t xml:space="preserve"> </w:t>
      </w:r>
      <w:r w:rsidRPr="00065BD1">
        <w:rPr>
          <w:rFonts w:ascii="Arial Narrow" w:hAnsi="Arial Narrow" w:cs="Times New Roman"/>
          <w:bCs/>
          <w:sz w:val="20"/>
        </w:rPr>
        <w:t>V objekte sú navrhnuté nechránené únikové cesty s priamym východom na voľné priestranstvo.</w:t>
      </w:r>
    </w:p>
    <w:p w14:paraId="04983615" w14:textId="77777777" w:rsidR="00B64BB2" w:rsidRPr="000D6059" w:rsidRDefault="00B64BB2" w:rsidP="00B64BB2">
      <w:pPr>
        <w:tabs>
          <w:tab w:val="left" w:pos="284"/>
        </w:tabs>
        <w:spacing w:after="0" w:line="276" w:lineRule="auto"/>
        <w:rPr>
          <w:rFonts w:ascii="Arial Narrow" w:hAnsi="Arial Narrow" w:cstheme="minorHAnsi"/>
          <w:b/>
          <w:bCs/>
          <w:i/>
          <w:sz w:val="20"/>
        </w:rPr>
      </w:pPr>
      <w:r w:rsidRPr="000D6059">
        <w:rPr>
          <w:rFonts w:ascii="Arial Narrow" w:hAnsi="Arial Narrow" w:cstheme="minorHAnsi"/>
          <w:b/>
          <w:bCs/>
          <w:i/>
          <w:sz w:val="20"/>
        </w:rPr>
        <w:t>Požiarny úsek N1.01:</w:t>
      </w:r>
    </w:p>
    <w:p w14:paraId="5E5F7ADA" w14:textId="75F7EDD9" w:rsidR="00B64BB2" w:rsidRDefault="00B64BB2" w:rsidP="00B64BB2">
      <w:pPr>
        <w:spacing w:line="276" w:lineRule="auto"/>
        <w:ind w:firstLine="708"/>
        <w:jc w:val="both"/>
        <w:rPr>
          <w:rFonts w:ascii="Arial Narrow" w:hAnsi="Arial Narrow" w:cs="Times New Roman"/>
          <w:bCs/>
          <w:sz w:val="20"/>
        </w:rPr>
      </w:pPr>
      <w:r w:rsidRPr="00B64BB2">
        <w:rPr>
          <w:rFonts w:ascii="Arial Narrow" w:hAnsi="Arial Narrow" w:cs="Times New Roman"/>
          <w:bCs/>
          <w:sz w:val="20"/>
        </w:rPr>
        <w:t>Počet osôb je určený v zmysle STN 92 0241 podľa jednotkovej plochy na osobu alebo podľa počtu osôb daných projektom. Viď tab. 1. Posúdenie únikovej cesty je uvedené vo výpočtovej časti.</w:t>
      </w:r>
    </w:p>
    <w:p w14:paraId="7494C105" w14:textId="140C129E" w:rsidR="00B64BB2" w:rsidRPr="00B64BB2" w:rsidRDefault="00B64BB2" w:rsidP="00B64BB2">
      <w:pPr>
        <w:pStyle w:val="Popis"/>
        <w:keepNext/>
        <w:spacing w:after="0" w:line="276" w:lineRule="auto"/>
        <w:rPr>
          <w:rFonts w:ascii="Arial Narrow" w:hAnsi="Arial Narrow" w:cstheme="minorHAnsi"/>
          <w:color w:val="auto"/>
          <w:sz w:val="16"/>
          <w:szCs w:val="22"/>
        </w:rPr>
      </w:pPr>
      <w:r w:rsidRPr="00CD4CD6">
        <w:rPr>
          <w:rFonts w:ascii="Arial Narrow" w:hAnsi="Arial Narrow" w:cstheme="minorHAnsi"/>
          <w:color w:val="auto"/>
          <w:sz w:val="16"/>
          <w:szCs w:val="22"/>
        </w:rPr>
        <w:t xml:space="preserve">Tabuľka </w:t>
      </w:r>
      <w:r>
        <w:rPr>
          <w:rFonts w:ascii="Arial Narrow" w:hAnsi="Arial Narrow" w:cstheme="minorHAnsi"/>
          <w:color w:val="auto"/>
          <w:sz w:val="16"/>
          <w:szCs w:val="22"/>
        </w:rPr>
        <w:t>1</w:t>
      </w:r>
    </w:p>
    <w:p w14:paraId="438CF1B2" w14:textId="7D562820" w:rsidR="00B64BB2" w:rsidRDefault="003D2AAD" w:rsidP="00B64BB2">
      <w:pPr>
        <w:spacing w:after="0" w:line="276" w:lineRule="auto"/>
        <w:jc w:val="both"/>
        <w:rPr>
          <w:rFonts w:ascii="Arial Narrow" w:hAnsi="Arial Narrow" w:cs="Times New Roman"/>
          <w:bCs/>
          <w:sz w:val="20"/>
        </w:rPr>
      </w:pPr>
      <w:r w:rsidRPr="003D2AAD">
        <w:rPr>
          <w:noProof/>
          <w:lang w:eastAsia="sk-SK"/>
        </w:rPr>
        <w:drawing>
          <wp:inline distT="0" distB="0" distL="0" distR="0" wp14:anchorId="618A3FBF" wp14:editId="5E8D836E">
            <wp:extent cx="5760720" cy="654050"/>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654050"/>
                    </a:xfrm>
                    <a:prstGeom prst="rect">
                      <a:avLst/>
                    </a:prstGeom>
                    <a:noFill/>
                    <a:ln>
                      <a:noFill/>
                    </a:ln>
                  </pic:spPr>
                </pic:pic>
              </a:graphicData>
            </a:graphic>
          </wp:inline>
        </w:drawing>
      </w:r>
    </w:p>
    <w:p w14:paraId="1E601458" w14:textId="18B3C85B" w:rsidR="00F82B5B" w:rsidRPr="00F82B5B" w:rsidRDefault="00F82B5B" w:rsidP="00F82B5B">
      <w:pPr>
        <w:tabs>
          <w:tab w:val="left" w:pos="284"/>
        </w:tabs>
        <w:spacing w:after="0" w:line="276" w:lineRule="auto"/>
        <w:rPr>
          <w:rFonts w:ascii="Arial Narrow" w:hAnsi="Arial Narrow" w:cstheme="minorHAnsi"/>
          <w:b/>
          <w:bCs/>
          <w:i/>
          <w:sz w:val="20"/>
        </w:rPr>
      </w:pPr>
      <w:r w:rsidRPr="00F82B5B">
        <w:rPr>
          <w:rFonts w:ascii="Arial Narrow" w:hAnsi="Arial Narrow" w:cstheme="minorHAnsi"/>
          <w:b/>
          <w:bCs/>
          <w:i/>
          <w:sz w:val="20"/>
        </w:rPr>
        <w:t>Dvere na únikovej ceste</w:t>
      </w:r>
    </w:p>
    <w:p w14:paraId="441A16A9" w14:textId="15FC153B" w:rsidR="00F82B5B" w:rsidRDefault="00F82B5B" w:rsidP="00F82B5B">
      <w:pPr>
        <w:spacing w:line="276" w:lineRule="auto"/>
        <w:ind w:firstLine="708"/>
        <w:jc w:val="both"/>
        <w:rPr>
          <w:rFonts w:ascii="Arial Narrow" w:hAnsi="Arial Narrow" w:cs="Times New Roman"/>
          <w:bCs/>
          <w:sz w:val="20"/>
        </w:rPr>
      </w:pPr>
      <w:r w:rsidRPr="00F82B5B">
        <w:rPr>
          <w:rFonts w:ascii="Arial Narrow" w:hAnsi="Arial Narrow" w:cs="Times New Roman"/>
          <w:bCs/>
          <w:sz w:val="20"/>
        </w:rPr>
        <w:t>Ak má dverové krídlo plochu väčšiu ako 4 m</w:t>
      </w:r>
      <w:r w:rsidRPr="00F82B5B">
        <w:rPr>
          <w:rFonts w:ascii="Arial Narrow" w:hAnsi="Arial Narrow" w:cs="Times New Roman"/>
          <w:bCs/>
          <w:sz w:val="20"/>
          <w:vertAlign w:val="superscript"/>
        </w:rPr>
        <w:t>2</w:t>
      </w:r>
      <w:r w:rsidRPr="00F82B5B">
        <w:rPr>
          <w:rFonts w:ascii="Arial Narrow" w:hAnsi="Arial Narrow" w:cs="Times New Roman"/>
          <w:bCs/>
          <w:sz w:val="20"/>
        </w:rPr>
        <w:t> a cez tieto dvere vedie len jediná úniková cesta, prechod osôb musí byť zabezpečený ďalším dverovým krídlom s menším rozmerom, najmenej však s rozmerom šírky únikovej cesty; dverové krídlo s menším rozmerom môže byť súčasťou väčšieho dverového krídla</w:t>
      </w:r>
      <w:r>
        <w:rPr>
          <w:rFonts w:ascii="Arial Narrow" w:hAnsi="Arial Narrow" w:cs="Times New Roman"/>
          <w:bCs/>
          <w:sz w:val="20"/>
        </w:rPr>
        <w:t xml:space="preserve">  v zmysle § 71 os. 6 vyhl. 94/2004.</w:t>
      </w:r>
    </w:p>
    <w:p w14:paraId="224EDECD" w14:textId="77777777" w:rsidR="006F1BEF" w:rsidRPr="00E00E60" w:rsidRDefault="006F1BEF" w:rsidP="00C80BEC">
      <w:pPr>
        <w:pStyle w:val="Odsekzoznamu"/>
        <w:numPr>
          <w:ilvl w:val="0"/>
          <w:numId w:val="1"/>
        </w:numPr>
        <w:spacing w:before="240" w:after="120" w:line="276" w:lineRule="auto"/>
        <w:rPr>
          <w:rFonts w:ascii="Arial Narrow" w:hAnsi="Arial Narrow" w:cstheme="minorHAnsi"/>
          <w:b/>
          <w:bCs/>
          <w:szCs w:val="20"/>
        </w:rPr>
      </w:pPr>
      <w:r>
        <w:rPr>
          <w:rFonts w:ascii="Arial Narrow" w:hAnsi="Arial Narrow" w:cstheme="minorHAnsi"/>
          <w:b/>
          <w:bCs/>
          <w:szCs w:val="20"/>
        </w:rPr>
        <w:t xml:space="preserve">POSÚDENIE </w:t>
      </w:r>
      <w:r w:rsidRPr="00E00E60">
        <w:rPr>
          <w:rFonts w:ascii="Arial Narrow" w:hAnsi="Arial Narrow" w:cstheme="minorHAnsi"/>
          <w:b/>
          <w:bCs/>
          <w:szCs w:val="20"/>
        </w:rPr>
        <w:t>ODSTUPOVÉ VZDIALENOSTI</w:t>
      </w:r>
    </w:p>
    <w:p w14:paraId="46C626A1" w14:textId="6F16BC96" w:rsidR="006F1BEF" w:rsidRPr="00091140" w:rsidRDefault="006F1BEF" w:rsidP="00C80BEC">
      <w:pPr>
        <w:spacing w:after="0" w:line="276" w:lineRule="auto"/>
        <w:ind w:firstLine="708"/>
        <w:jc w:val="both"/>
        <w:rPr>
          <w:rFonts w:ascii="Arial Narrow" w:hAnsi="Arial Narrow"/>
          <w:sz w:val="20"/>
          <w:szCs w:val="20"/>
        </w:rPr>
      </w:pPr>
      <w:r w:rsidRPr="00091140">
        <w:rPr>
          <w:rFonts w:ascii="Arial Narrow" w:hAnsi="Arial Narrow"/>
          <w:sz w:val="20"/>
          <w:szCs w:val="20"/>
        </w:rPr>
        <w:t xml:space="preserve">Odstupové vzdialenosti od priestorov </w:t>
      </w:r>
      <w:r w:rsidR="0026498A">
        <w:rPr>
          <w:rFonts w:ascii="Arial Narrow" w:hAnsi="Arial Narrow"/>
          <w:sz w:val="20"/>
          <w:szCs w:val="20"/>
        </w:rPr>
        <w:t xml:space="preserve">požiarneho úseku sú určené </w:t>
      </w:r>
      <w:r w:rsidRPr="00091140">
        <w:rPr>
          <w:rFonts w:ascii="Arial Narrow" w:hAnsi="Arial Narrow"/>
          <w:sz w:val="20"/>
          <w:szCs w:val="20"/>
        </w:rPr>
        <w:t xml:space="preserve">v zmysle § 79 vyhl. 94/2004. </w:t>
      </w:r>
    </w:p>
    <w:p w14:paraId="3AC4C542" w14:textId="77777777" w:rsidR="006F1BEF" w:rsidRPr="00091140" w:rsidRDefault="006F1BEF" w:rsidP="00C80BEC">
      <w:pPr>
        <w:spacing w:after="0" w:line="276" w:lineRule="auto"/>
        <w:jc w:val="both"/>
        <w:rPr>
          <w:rFonts w:ascii="Arial Narrow" w:hAnsi="Arial Narrow"/>
          <w:sz w:val="20"/>
          <w:szCs w:val="20"/>
        </w:rPr>
      </w:pPr>
    </w:p>
    <w:p w14:paraId="29D0357E" w14:textId="5EB4991E" w:rsidR="006F1BEF" w:rsidRPr="00091140" w:rsidRDefault="0026498A" w:rsidP="00C80BEC">
      <w:pPr>
        <w:spacing w:after="0" w:line="276" w:lineRule="auto"/>
        <w:jc w:val="center"/>
        <w:rPr>
          <w:rFonts w:ascii="Arial Narrow" w:hAnsi="Arial Narrow"/>
          <w:b/>
          <w:bCs/>
          <w:sz w:val="20"/>
          <w:szCs w:val="20"/>
        </w:rPr>
      </w:pPr>
      <w:r>
        <w:rPr>
          <w:rFonts w:ascii="Arial Narrow" w:hAnsi="Arial Narrow"/>
          <w:b/>
          <w:bCs/>
          <w:sz w:val="20"/>
          <w:szCs w:val="20"/>
        </w:rPr>
        <w:t xml:space="preserve">Viď výpočtová časť. </w:t>
      </w:r>
    </w:p>
    <w:p w14:paraId="33A0E550" w14:textId="77777777" w:rsidR="006F1BEF" w:rsidRPr="00091140" w:rsidRDefault="006F1BEF" w:rsidP="00C80BEC">
      <w:pPr>
        <w:widowControl w:val="0"/>
        <w:autoSpaceDE w:val="0"/>
        <w:autoSpaceDN w:val="0"/>
        <w:adjustRightInd w:val="0"/>
        <w:spacing w:before="40" w:after="0" w:line="276" w:lineRule="auto"/>
        <w:jc w:val="both"/>
        <w:rPr>
          <w:rFonts w:ascii="Arial Narrow" w:hAnsi="Arial Narrow"/>
          <w:sz w:val="20"/>
          <w:szCs w:val="20"/>
        </w:rPr>
      </w:pPr>
    </w:p>
    <w:p w14:paraId="696361AB" w14:textId="37CA5127" w:rsidR="003C09EA" w:rsidRPr="006F1BEF" w:rsidRDefault="006F1BEF" w:rsidP="00C80BEC">
      <w:pPr>
        <w:spacing w:after="0" w:line="276" w:lineRule="auto"/>
        <w:ind w:firstLine="708"/>
        <w:jc w:val="both"/>
        <w:rPr>
          <w:rFonts w:ascii="Arial Narrow" w:hAnsi="Arial Narrow"/>
          <w:sz w:val="20"/>
          <w:szCs w:val="20"/>
        </w:rPr>
      </w:pPr>
      <w:r w:rsidRPr="00091140">
        <w:rPr>
          <w:rFonts w:ascii="Arial Narrow" w:hAnsi="Arial Narrow"/>
          <w:sz w:val="20"/>
          <w:szCs w:val="20"/>
        </w:rPr>
        <w:t xml:space="preserve">Na zamedzenie prenosu požiaru z horiacej stavby na inú stavbu alebo z horiaceho požiarneho úseku na iný požiarny úsek musia byť stavby alebo požiarne úseky od seba vzdialené najmenej o odstupovú vzdialenosť. V okolí posudzovanej stavby sa nenachádzajú žiadne iné okolité stavby, ktoré by zasahovali svojím požiarne nebezpečným priestorom do priestoru posudzovanej stavby. </w:t>
      </w:r>
      <w:r w:rsidR="0026498A">
        <w:rPr>
          <w:rFonts w:ascii="Arial Narrow" w:hAnsi="Arial Narrow"/>
          <w:sz w:val="20"/>
          <w:szCs w:val="20"/>
        </w:rPr>
        <w:t xml:space="preserve">V okolí stavby sa nachádzajú sklady obila – bez požiarne nebezpečného priestoru. </w:t>
      </w:r>
      <w:r w:rsidRPr="00091140">
        <w:rPr>
          <w:rFonts w:ascii="Arial Narrow" w:hAnsi="Arial Narrow"/>
          <w:sz w:val="20"/>
          <w:szCs w:val="20"/>
        </w:rPr>
        <w:t>Všetky odstupové vzdialenosti od posudzovanej stavby vyhovujú.</w:t>
      </w:r>
    </w:p>
    <w:p w14:paraId="4C532926" w14:textId="77777777" w:rsidR="006F1BEF" w:rsidRPr="00E00E60" w:rsidRDefault="006F1BEF" w:rsidP="00C80BEC">
      <w:pPr>
        <w:pStyle w:val="Odsekzoznamu"/>
        <w:numPr>
          <w:ilvl w:val="0"/>
          <w:numId w:val="1"/>
        </w:numPr>
        <w:spacing w:before="240" w:after="120" w:line="276" w:lineRule="auto"/>
        <w:rPr>
          <w:rFonts w:ascii="Arial Narrow" w:hAnsi="Arial Narrow" w:cstheme="minorHAnsi"/>
          <w:b/>
          <w:bCs/>
          <w:szCs w:val="20"/>
        </w:rPr>
      </w:pPr>
      <w:r w:rsidRPr="00E00E60">
        <w:rPr>
          <w:rFonts w:ascii="Arial Narrow" w:hAnsi="Arial Narrow" w:cstheme="minorHAnsi"/>
          <w:b/>
          <w:bCs/>
          <w:szCs w:val="20"/>
        </w:rPr>
        <w:t>URČENIE POŽIARNOBEZPEČNOSTNÝCH OPATRENÍA ZARIADENÍ NA PROTIPOŽIARNY ZÁSAH</w:t>
      </w:r>
    </w:p>
    <w:p w14:paraId="5624AA7F" w14:textId="5163003E" w:rsidR="008C7B77" w:rsidRDefault="006F1BEF" w:rsidP="0026498A">
      <w:pPr>
        <w:spacing w:after="60" w:line="276" w:lineRule="auto"/>
        <w:ind w:firstLine="708"/>
        <w:jc w:val="both"/>
        <w:rPr>
          <w:rFonts w:ascii="Arial Narrow" w:hAnsi="Arial Narrow" w:cstheme="minorHAnsi"/>
          <w:sz w:val="20"/>
          <w:szCs w:val="20"/>
        </w:rPr>
      </w:pPr>
      <w:r w:rsidRPr="00E203CE">
        <w:rPr>
          <w:rFonts w:ascii="Arial Narrow" w:hAnsi="Arial Narrow" w:cstheme="minorHAnsi"/>
          <w:sz w:val="20"/>
          <w:szCs w:val="20"/>
        </w:rPr>
        <w:t>Zariadenia na zásah sú riešené v zmysle § 81 ods. 1 a ods. 2 vyhl. MV SR č 94/2004. Posudzovaná stavba má tieto zariadenia na zásah:</w:t>
      </w:r>
    </w:p>
    <w:p w14:paraId="1920121E" w14:textId="77777777" w:rsidR="006F1BEF" w:rsidRPr="00F65938" w:rsidRDefault="006F1BEF" w:rsidP="00C80BEC">
      <w:pPr>
        <w:tabs>
          <w:tab w:val="left" w:pos="284"/>
        </w:tabs>
        <w:spacing w:after="0" w:line="276" w:lineRule="auto"/>
        <w:rPr>
          <w:rFonts w:ascii="Arial Narrow" w:hAnsi="Arial Narrow" w:cstheme="minorHAnsi"/>
          <w:b/>
          <w:bCs/>
          <w:i/>
          <w:sz w:val="20"/>
        </w:rPr>
      </w:pPr>
      <w:r w:rsidRPr="00F65938">
        <w:rPr>
          <w:rFonts w:ascii="Arial Narrow" w:hAnsi="Arial Narrow" w:cstheme="minorHAnsi"/>
          <w:b/>
          <w:bCs/>
          <w:i/>
          <w:sz w:val="20"/>
        </w:rPr>
        <w:t xml:space="preserve">Prístupová komunikácia </w:t>
      </w:r>
    </w:p>
    <w:p w14:paraId="7E63D672" w14:textId="77777777" w:rsidR="006F1BEF" w:rsidRPr="00E203CE" w:rsidRDefault="006F1BEF" w:rsidP="00C80BEC">
      <w:pPr>
        <w:spacing w:after="60" w:line="276" w:lineRule="auto"/>
        <w:ind w:firstLine="708"/>
        <w:jc w:val="both"/>
        <w:rPr>
          <w:rFonts w:ascii="Arial Narrow" w:hAnsi="Arial Narrow" w:cstheme="minorHAnsi"/>
          <w:sz w:val="20"/>
          <w:szCs w:val="20"/>
        </w:rPr>
      </w:pPr>
      <w:r w:rsidRPr="00E203CE">
        <w:rPr>
          <w:rFonts w:ascii="Arial Narrow" w:hAnsi="Arial Narrow" w:cstheme="minorHAnsi"/>
          <w:sz w:val="20"/>
          <w:szCs w:val="20"/>
        </w:rPr>
        <w:t xml:space="preserve">Ku stavbe </w:t>
      </w:r>
      <w:r>
        <w:rPr>
          <w:rFonts w:ascii="Arial Narrow" w:hAnsi="Arial Narrow" w:cstheme="minorHAnsi"/>
          <w:sz w:val="20"/>
          <w:szCs w:val="20"/>
        </w:rPr>
        <w:t>je</w:t>
      </w:r>
      <w:r w:rsidRPr="00E203CE">
        <w:rPr>
          <w:rFonts w:ascii="Arial Narrow" w:hAnsi="Arial Narrow" w:cstheme="minorHAnsi"/>
          <w:sz w:val="20"/>
          <w:szCs w:val="20"/>
        </w:rPr>
        <w:t xml:space="preserve"> zabezpečená (viď. situácia). Prístupová komunikácia spĺňa požiadavky § 82 vyhl. 94/2004 t.j. široká minimálne 3,0 m, nachádzajúca sa do vzdialenosti 30 m od vchodu do navrhovanej stavby a dimenzovaná na tiaž 80 </w:t>
      </w:r>
      <w:proofErr w:type="spellStart"/>
      <w:r w:rsidRPr="00E203CE">
        <w:rPr>
          <w:rFonts w:ascii="Arial Narrow" w:hAnsi="Arial Narrow" w:cstheme="minorHAnsi"/>
          <w:sz w:val="20"/>
          <w:szCs w:val="20"/>
        </w:rPr>
        <w:t>kN</w:t>
      </w:r>
      <w:proofErr w:type="spellEnd"/>
      <w:r w:rsidRPr="00E203CE">
        <w:rPr>
          <w:rFonts w:ascii="Arial Narrow" w:hAnsi="Arial Narrow" w:cstheme="minorHAnsi"/>
          <w:sz w:val="20"/>
          <w:szCs w:val="20"/>
        </w:rPr>
        <w:t xml:space="preserve"> (zaťaženie jednou nápravou vozidla).</w:t>
      </w:r>
    </w:p>
    <w:p w14:paraId="5726D38A" w14:textId="77777777" w:rsidR="006F1BEF" w:rsidRPr="00E203CE" w:rsidRDefault="006F1BEF" w:rsidP="00C80BEC">
      <w:pPr>
        <w:spacing w:after="0" w:line="276" w:lineRule="auto"/>
        <w:jc w:val="both"/>
        <w:rPr>
          <w:rFonts w:ascii="Arial Narrow" w:hAnsi="Arial Narrow" w:cstheme="minorHAnsi"/>
          <w:b/>
          <w:sz w:val="20"/>
          <w:szCs w:val="20"/>
        </w:rPr>
      </w:pPr>
      <w:r w:rsidRPr="00E203CE">
        <w:rPr>
          <w:rFonts w:ascii="Arial Narrow" w:hAnsi="Arial Narrow" w:cstheme="minorHAnsi"/>
          <w:b/>
          <w:bCs/>
          <w:i/>
          <w:sz w:val="20"/>
          <w:szCs w:val="20"/>
        </w:rPr>
        <w:lastRenderedPageBreak/>
        <w:t>Nástupná plocha</w:t>
      </w:r>
      <w:r w:rsidRPr="00E203CE">
        <w:rPr>
          <w:rFonts w:ascii="Arial Narrow" w:hAnsi="Arial Narrow" w:cstheme="minorHAnsi"/>
          <w:b/>
          <w:sz w:val="20"/>
          <w:szCs w:val="20"/>
        </w:rPr>
        <w:t xml:space="preserve"> </w:t>
      </w:r>
    </w:p>
    <w:p w14:paraId="63C3DB78" w14:textId="0B4D095C" w:rsidR="00C80BEC" w:rsidRPr="00E203CE" w:rsidRDefault="006F1BEF" w:rsidP="00F82B5B">
      <w:pPr>
        <w:spacing w:after="60" w:line="276" w:lineRule="auto"/>
        <w:ind w:firstLine="708"/>
        <w:jc w:val="both"/>
        <w:rPr>
          <w:rFonts w:ascii="Arial Narrow" w:hAnsi="Arial Narrow" w:cstheme="minorHAnsi"/>
          <w:sz w:val="20"/>
          <w:szCs w:val="20"/>
        </w:rPr>
      </w:pPr>
      <w:r w:rsidRPr="00E203CE">
        <w:rPr>
          <w:rFonts w:ascii="Arial Narrow" w:hAnsi="Arial Narrow" w:cstheme="minorHAnsi"/>
          <w:sz w:val="20"/>
          <w:szCs w:val="20"/>
        </w:rPr>
        <w:t>V zmysle  § 83 ods. 1 písm. a) vyhl. MV SR č. 94/2004 nemusí byť vybudovaná</w:t>
      </w:r>
      <w:r>
        <w:rPr>
          <w:rFonts w:ascii="Arial Narrow" w:hAnsi="Arial Narrow" w:cstheme="minorHAnsi"/>
          <w:sz w:val="20"/>
          <w:szCs w:val="20"/>
        </w:rPr>
        <w:t>.</w:t>
      </w:r>
    </w:p>
    <w:p w14:paraId="782DAFC7" w14:textId="77777777" w:rsidR="006F1BEF" w:rsidRPr="00E203CE" w:rsidRDefault="006F1BEF" w:rsidP="00C80BEC">
      <w:pPr>
        <w:spacing w:after="0" w:line="276" w:lineRule="auto"/>
        <w:jc w:val="both"/>
        <w:rPr>
          <w:rFonts w:ascii="Arial Narrow" w:hAnsi="Arial Narrow" w:cstheme="minorHAnsi"/>
          <w:b/>
          <w:bCs/>
          <w:sz w:val="20"/>
          <w:szCs w:val="20"/>
        </w:rPr>
      </w:pPr>
      <w:r w:rsidRPr="00E203CE">
        <w:rPr>
          <w:rFonts w:ascii="Arial Narrow" w:hAnsi="Arial Narrow" w:cstheme="minorHAnsi"/>
          <w:b/>
          <w:bCs/>
          <w:i/>
          <w:sz w:val="20"/>
          <w:szCs w:val="20"/>
        </w:rPr>
        <w:t>Vnútorná zásahová cesta</w:t>
      </w:r>
      <w:r w:rsidRPr="00E203CE">
        <w:rPr>
          <w:rFonts w:ascii="Arial Narrow" w:hAnsi="Arial Narrow" w:cstheme="minorHAnsi"/>
          <w:b/>
          <w:bCs/>
          <w:sz w:val="20"/>
          <w:szCs w:val="20"/>
        </w:rPr>
        <w:t xml:space="preserve"> </w:t>
      </w:r>
    </w:p>
    <w:p w14:paraId="0BBD5145" w14:textId="77777777" w:rsidR="006F1BEF" w:rsidRPr="00E203CE" w:rsidRDefault="006F1BEF" w:rsidP="00C80BEC">
      <w:pPr>
        <w:spacing w:after="60" w:line="276" w:lineRule="auto"/>
        <w:ind w:firstLine="708"/>
        <w:jc w:val="both"/>
        <w:rPr>
          <w:rFonts w:ascii="Arial Narrow" w:hAnsi="Arial Narrow" w:cstheme="minorHAnsi"/>
          <w:sz w:val="20"/>
          <w:szCs w:val="20"/>
        </w:rPr>
      </w:pPr>
      <w:r w:rsidRPr="00E203CE">
        <w:rPr>
          <w:rFonts w:ascii="Arial Narrow" w:hAnsi="Arial Narrow" w:cstheme="minorHAnsi"/>
          <w:sz w:val="20"/>
          <w:szCs w:val="20"/>
        </w:rPr>
        <w:t>V zmysle § 84 ods. 1 vyhl. MV SR č. 94/2004 nemusí byť vybudovaná.</w:t>
      </w:r>
    </w:p>
    <w:p w14:paraId="78E36DCC" w14:textId="77777777" w:rsidR="006F1BEF" w:rsidRPr="00E203CE" w:rsidRDefault="006F1BEF" w:rsidP="00C80BEC">
      <w:pPr>
        <w:pStyle w:val="Zkladntext"/>
        <w:spacing w:after="0" w:line="276" w:lineRule="auto"/>
        <w:jc w:val="both"/>
        <w:rPr>
          <w:rFonts w:ascii="Arial Narrow" w:hAnsi="Arial Narrow" w:cstheme="minorHAnsi"/>
          <w:b/>
          <w:bCs/>
          <w:sz w:val="20"/>
          <w:szCs w:val="20"/>
        </w:rPr>
      </w:pPr>
      <w:r w:rsidRPr="00E203CE">
        <w:rPr>
          <w:rFonts w:ascii="Arial Narrow" w:hAnsi="Arial Narrow" w:cstheme="minorHAnsi"/>
          <w:b/>
          <w:bCs/>
          <w:i/>
          <w:sz w:val="20"/>
          <w:szCs w:val="20"/>
        </w:rPr>
        <w:t>Vonkajšia zásahová cesta</w:t>
      </w:r>
      <w:r w:rsidRPr="00E203CE">
        <w:rPr>
          <w:rFonts w:ascii="Arial Narrow" w:hAnsi="Arial Narrow" w:cstheme="minorHAnsi"/>
          <w:b/>
          <w:bCs/>
          <w:sz w:val="20"/>
          <w:szCs w:val="20"/>
        </w:rPr>
        <w:t xml:space="preserve"> </w:t>
      </w:r>
    </w:p>
    <w:p w14:paraId="47F831FB" w14:textId="0D9E6C0C" w:rsidR="006F1BEF" w:rsidRPr="00A37AD8" w:rsidRDefault="006F1BEF" w:rsidP="00C80BEC">
      <w:pPr>
        <w:spacing w:after="60" w:line="276" w:lineRule="auto"/>
        <w:ind w:firstLine="708"/>
        <w:jc w:val="both"/>
        <w:rPr>
          <w:rFonts w:ascii="Arial Narrow" w:hAnsi="Arial Narrow" w:cstheme="minorHAnsi"/>
          <w:sz w:val="20"/>
          <w:szCs w:val="20"/>
        </w:rPr>
      </w:pPr>
      <w:r w:rsidRPr="00065BD1">
        <w:rPr>
          <w:rFonts w:ascii="Arial Narrow" w:hAnsi="Arial Narrow" w:cstheme="minorHAnsi"/>
          <w:sz w:val="20"/>
          <w:szCs w:val="20"/>
        </w:rPr>
        <w:t>V zmysle § 86 ods. 3 vyhl. MV SR č. 94/2004 nemusia byť vybudované.</w:t>
      </w:r>
      <w:r w:rsidR="0011792C">
        <w:rPr>
          <w:rFonts w:ascii="Arial Narrow" w:hAnsi="Arial Narrow" w:cstheme="minorHAnsi"/>
          <w:sz w:val="20"/>
          <w:szCs w:val="20"/>
        </w:rPr>
        <w:t xml:space="preserve"> </w:t>
      </w:r>
      <w:bookmarkStart w:id="1" w:name="_Hlk33132359"/>
      <w:r w:rsidR="00C80BEC">
        <w:rPr>
          <w:rFonts w:ascii="Arial Narrow" w:hAnsi="Arial Narrow" w:cstheme="minorHAnsi"/>
          <w:sz w:val="20"/>
          <w:szCs w:val="20"/>
        </w:rPr>
        <w:t xml:space="preserve">Objekt bude bez požiarnej odolnosti. </w:t>
      </w:r>
      <w:r w:rsidR="0011792C">
        <w:rPr>
          <w:rFonts w:ascii="Arial Narrow" w:hAnsi="Arial Narrow" w:cstheme="minorHAnsi"/>
          <w:sz w:val="20"/>
          <w:szCs w:val="20"/>
        </w:rPr>
        <w:t xml:space="preserve"> </w:t>
      </w:r>
      <w:bookmarkEnd w:id="1"/>
    </w:p>
    <w:p w14:paraId="4B93F022" w14:textId="77777777" w:rsidR="00F82B5B" w:rsidRPr="00A75906" w:rsidRDefault="00F82B5B" w:rsidP="00F82B5B">
      <w:pPr>
        <w:pStyle w:val="Zkladntext"/>
        <w:spacing w:after="0" w:line="276" w:lineRule="auto"/>
        <w:jc w:val="both"/>
        <w:rPr>
          <w:rFonts w:ascii="Arial Narrow" w:hAnsi="Arial Narrow" w:cstheme="minorHAnsi"/>
          <w:b/>
          <w:bCs/>
          <w:i/>
          <w:sz w:val="20"/>
          <w:szCs w:val="22"/>
        </w:rPr>
      </w:pPr>
      <w:r w:rsidRPr="00A75906">
        <w:rPr>
          <w:rFonts w:ascii="Arial Narrow" w:hAnsi="Arial Narrow" w:cstheme="minorHAnsi"/>
          <w:b/>
          <w:bCs/>
          <w:i/>
          <w:sz w:val="20"/>
          <w:szCs w:val="22"/>
        </w:rPr>
        <w:t>Požiarne zariadenia</w:t>
      </w:r>
    </w:p>
    <w:p w14:paraId="05702232" w14:textId="77777777" w:rsidR="00F82B5B" w:rsidRPr="00A75906" w:rsidRDefault="00F82B5B" w:rsidP="00F82B5B">
      <w:pPr>
        <w:spacing w:after="120" w:line="276" w:lineRule="auto"/>
        <w:ind w:firstLine="708"/>
        <w:jc w:val="both"/>
        <w:rPr>
          <w:rFonts w:ascii="Arial Narrow" w:hAnsi="Arial Narrow" w:cstheme="minorHAnsi"/>
          <w:sz w:val="20"/>
        </w:rPr>
      </w:pPr>
      <w:r w:rsidRPr="00A75906">
        <w:rPr>
          <w:rFonts w:ascii="Arial Narrow" w:hAnsi="Arial Narrow" w:cstheme="minorHAnsi"/>
          <w:bCs/>
          <w:iCs/>
          <w:sz w:val="20"/>
        </w:rPr>
        <w:t>Počet hasiacich prístrojov pre požiarne úseky je stanovený podľa</w:t>
      </w:r>
      <w:r w:rsidRPr="00A75906">
        <w:rPr>
          <w:rFonts w:ascii="Arial Narrow" w:hAnsi="Arial Narrow" w:cstheme="minorHAnsi"/>
          <w:sz w:val="20"/>
        </w:rPr>
        <w:t xml:space="preserve"> ekvivalentného množstva hasiacej látky </w:t>
      </w:r>
      <w:proofErr w:type="spellStart"/>
      <w:r w:rsidRPr="00A75906">
        <w:rPr>
          <w:rFonts w:ascii="Arial Narrow" w:hAnsi="Arial Narrow" w:cstheme="minorHAnsi"/>
          <w:sz w:val="20"/>
        </w:rPr>
        <w:t>Mc</w:t>
      </w:r>
      <w:proofErr w:type="spellEnd"/>
      <w:r w:rsidRPr="00A75906">
        <w:rPr>
          <w:rFonts w:ascii="Arial Narrow" w:hAnsi="Arial Narrow" w:cstheme="minorHAnsi"/>
          <w:sz w:val="20"/>
        </w:rPr>
        <w:t xml:space="preserve"> pre jednotlivé požiarne úseky v zmysle STN 92 0202-1. Viď výpočtová časť. Počet hasiacich prístrojov pre jednotlivé požiarne úseky a ich podlažia je nasledovný: </w:t>
      </w:r>
    </w:p>
    <w:p w14:paraId="39DC8379" w14:textId="77777777" w:rsidR="00F82B5B" w:rsidRPr="00EC12E5" w:rsidRDefault="00F82B5B" w:rsidP="00F82B5B">
      <w:pPr>
        <w:pStyle w:val="Zkladntext"/>
        <w:spacing w:after="0" w:line="276" w:lineRule="auto"/>
        <w:ind w:firstLine="708"/>
        <w:jc w:val="both"/>
        <w:rPr>
          <w:rFonts w:ascii="Arial Narrow" w:hAnsi="Arial Narrow" w:cstheme="minorHAnsi"/>
          <w:bCs/>
          <w:i/>
          <w:sz w:val="20"/>
          <w:szCs w:val="22"/>
        </w:rPr>
      </w:pPr>
      <w:r w:rsidRPr="00EC12E5">
        <w:rPr>
          <w:rFonts w:ascii="Arial Narrow" w:hAnsi="Arial Narrow" w:cstheme="minorHAnsi"/>
          <w:bCs/>
          <w:i/>
          <w:sz w:val="20"/>
          <w:szCs w:val="22"/>
        </w:rPr>
        <w:t>Požiarny úsek N1.01:</w:t>
      </w:r>
    </w:p>
    <w:p w14:paraId="5BAC9258" w14:textId="3CF8EA43" w:rsidR="00F82B5B" w:rsidRDefault="00F82B5B" w:rsidP="00F82B5B">
      <w:pPr>
        <w:pStyle w:val="Odsekzoznamu"/>
        <w:numPr>
          <w:ilvl w:val="0"/>
          <w:numId w:val="2"/>
        </w:numPr>
        <w:spacing w:after="120" w:line="276" w:lineRule="auto"/>
        <w:jc w:val="both"/>
        <w:rPr>
          <w:rFonts w:ascii="Arial Narrow" w:hAnsi="Arial Narrow" w:cstheme="minorHAnsi"/>
          <w:sz w:val="20"/>
        </w:rPr>
      </w:pPr>
      <w:r w:rsidRPr="00EC12E5">
        <w:rPr>
          <w:rFonts w:ascii="Arial Narrow" w:hAnsi="Arial Narrow" w:cstheme="minorHAnsi"/>
          <w:sz w:val="20"/>
        </w:rPr>
        <w:t xml:space="preserve">Navrhujem </w:t>
      </w:r>
      <w:r w:rsidR="0026498A">
        <w:rPr>
          <w:rFonts w:ascii="Arial Narrow" w:hAnsi="Arial Narrow" w:cstheme="minorHAnsi"/>
          <w:sz w:val="20"/>
        </w:rPr>
        <w:t>5</w:t>
      </w:r>
      <w:r w:rsidRPr="00EC12E5">
        <w:rPr>
          <w:rFonts w:ascii="Arial Narrow" w:hAnsi="Arial Narrow" w:cstheme="minorHAnsi"/>
          <w:sz w:val="20"/>
        </w:rPr>
        <w:t xml:space="preserve"> ks PHP práškové</w:t>
      </w:r>
    </w:p>
    <w:p w14:paraId="38547636" w14:textId="77777777" w:rsidR="006F1BEF" w:rsidRPr="000F70B3" w:rsidRDefault="006F1BEF" w:rsidP="00C80BEC">
      <w:pPr>
        <w:pStyle w:val="Odsekzoznamu"/>
        <w:numPr>
          <w:ilvl w:val="0"/>
          <w:numId w:val="1"/>
        </w:numPr>
        <w:spacing w:before="240" w:after="120" w:line="276" w:lineRule="auto"/>
        <w:rPr>
          <w:rFonts w:ascii="Arial Narrow" w:hAnsi="Arial Narrow" w:cstheme="minorHAnsi"/>
          <w:b/>
          <w:bCs/>
          <w:szCs w:val="20"/>
        </w:rPr>
      </w:pPr>
      <w:r w:rsidRPr="00E00E60">
        <w:rPr>
          <w:rFonts w:ascii="Arial Narrow" w:hAnsi="Arial Narrow" w:cstheme="minorHAnsi"/>
          <w:b/>
          <w:bCs/>
          <w:szCs w:val="20"/>
        </w:rPr>
        <w:t>ZARIADENIA NA DODÁVKU VODY NA HASENIE POŽIAROV</w:t>
      </w:r>
    </w:p>
    <w:p w14:paraId="6B8295D0" w14:textId="77777777" w:rsidR="0026498A" w:rsidRPr="001D1EC7" w:rsidRDefault="0026498A" w:rsidP="0026498A">
      <w:pPr>
        <w:spacing w:after="120" w:line="276" w:lineRule="auto"/>
        <w:ind w:firstLine="708"/>
        <w:jc w:val="both"/>
        <w:rPr>
          <w:rFonts w:ascii="Arial Narrow" w:hAnsi="Arial Narrow" w:cstheme="minorHAnsi"/>
          <w:sz w:val="20"/>
        </w:rPr>
      </w:pPr>
      <w:r w:rsidRPr="00CD4CD6">
        <w:rPr>
          <w:rFonts w:ascii="Arial Narrow" w:hAnsi="Arial Narrow" w:cstheme="minorHAnsi"/>
          <w:bCs/>
          <w:sz w:val="20"/>
        </w:rPr>
        <w:t xml:space="preserve">Potreba vody na hasenie požiaru je určená </w:t>
      </w:r>
      <w:r w:rsidRPr="00CD4CD6">
        <w:rPr>
          <w:rFonts w:ascii="Arial Narrow" w:hAnsi="Arial Narrow"/>
          <w:sz w:val="20"/>
        </w:rPr>
        <w:t xml:space="preserve">v zmysle vyhlášky MV SR č. 699/2004 </w:t>
      </w:r>
      <w:proofErr w:type="spellStart"/>
      <w:r w:rsidRPr="00CD4CD6">
        <w:rPr>
          <w:rFonts w:ascii="Arial Narrow" w:hAnsi="Arial Narrow"/>
          <w:sz w:val="20"/>
        </w:rPr>
        <w:t>Z.z</w:t>
      </w:r>
      <w:proofErr w:type="spellEnd"/>
      <w:r w:rsidRPr="00CD4CD6">
        <w:rPr>
          <w:rFonts w:ascii="Arial Narrow" w:hAnsi="Arial Narrow"/>
          <w:sz w:val="20"/>
        </w:rPr>
        <w:t xml:space="preserve">. v nadväznosti na STN 92 0400 tab. 2. </w:t>
      </w:r>
      <w:r w:rsidRPr="00CD4CD6">
        <w:rPr>
          <w:rFonts w:ascii="Arial Narrow" w:hAnsi="Arial Narrow" w:cstheme="minorHAnsi"/>
          <w:sz w:val="20"/>
        </w:rPr>
        <w:t xml:space="preserve"> </w:t>
      </w:r>
      <w:r w:rsidRPr="00CD4CD6">
        <w:rPr>
          <w:rFonts w:ascii="Arial Narrow" w:hAnsi="Arial Narrow"/>
          <w:sz w:val="20"/>
        </w:rPr>
        <w:t xml:space="preserve">Potreba vody na hasenie požiaru je stanovená podľa pre odber </w:t>
      </w:r>
      <w:r w:rsidRPr="00CD4CD6">
        <w:rPr>
          <w:rFonts w:ascii="Arial Narrow" w:hAnsi="Arial Narrow" w:cstheme="minorHAnsi"/>
          <w:b/>
          <w:bCs/>
          <w:sz w:val="20"/>
        </w:rPr>
        <w:t>Q = 1</w:t>
      </w:r>
      <w:r>
        <w:rPr>
          <w:rFonts w:ascii="Arial Narrow" w:hAnsi="Arial Narrow" w:cstheme="minorHAnsi"/>
          <w:b/>
          <w:bCs/>
          <w:sz w:val="20"/>
        </w:rPr>
        <w:t>8</w:t>
      </w:r>
      <w:r w:rsidRPr="00CD4CD6">
        <w:rPr>
          <w:rFonts w:ascii="Arial Narrow" w:hAnsi="Arial Narrow" w:cstheme="minorHAnsi"/>
          <w:b/>
          <w:bCs/>
          <w:sz w:val="20"/>
        </w:rPr>
        <w:t xml:space="preserve"> l.s</w:t>
      </w:r>
      <w:r w:rsidRPr="00CD4CD6">
        <w:rPr>
          <w:rFonts w:ascii="Arial Narrow" w:hAnsi="Arial Narrow" w:cstheme="minorHAnsi"/>
          <w:b/>
          <w:bCs/>
          <w:sz w:val="20"/>
          <w:vertAlign w:val="superscript"/>
        </w:rPr>
        <w:t>-1</w:t>
      </w:r>
      <w:r w:rsidRPr="00CD4CD6">
        <w:rPr>
          <w:rFonts w:ascii="Arial Narrow" w:hAnsi="Arial Narrow" w:cstheme="minorHAnsi"/>
          <w:sz w:val="20"/>
        </w:rPr>
        <w:t xml:space="preserve">  pre v = 1,5 m.s</w:t>
      </w:r>
      <w:r w:rsidRPr="00CD4CD6">
        <w:rPr>
          <w:rFonts w:ascii="Arial Narrow" w:hAnsi="Arial Narrow" w:cstheme="minorHAnsi"/>
          <w:sz w:val="20"/>
          <w:vertAlign w:val="superscript"/>
        </w:rPr>
        <w:t>-1</w:t>
      </w:r>
      <w:r w:rsidRPr="00CD4CD6">
        <w:rPr>
          <w:rFonts w:ascii="Arial Narrow" w:hAnsi="Arial Narrow" w:cstheme="minorHAnsi"/>
          <w:sz w:val="20"/>
        </w:rPr>
        <w:t xml:space="preserve">, čo je najmenší </w:t>
      </w:r>
      <w:r w:rsidRPr="001D1EC7">
        <w:rPr>
          <w:rFonts w:ascii="Arial Narrow" w:hAnsi="Arial Narrow" w:cstheme="minorHAnsi"/>
          <w:sz w:val="20"/>
        </w:rPr>
        <w:t xml:space="preserve">odber z hydrantu po pripojení mobilnej hasičskej techniky alebo nádrž zdroja vody na hasenie požiarov v objeme </w:t>
      </w:r>
      <w:r>
        <w:rPr>
          <w:rFonts w:ascii="Arial Narrow" w:hAnsi="Arial Narrow" w:cstheme="minorHAnsi"/>
          <w:sz w:val="20"/>
        </w:rPr>
        <w:t>35</w:t>
      </w:r>
      <w:r w:rsidRPr="001D1EC7">
        <w:rPr>
          <w:rFonts w:ascii="Arial Narrow" w:hAnsi="Arial Narrow" w:cstheme="minorHAnsi"/>
          <w:sz w:val="20"/>
        </w:rPr>
        <w:t xml:space="preserve"> m</w:t>
      </w:r>
      <w:r w:rsidRPr="001D1EC7">
        <w:rPr>
          <w:rFonts w:ascii="Arial Narrow" w:hAnsi="Arial Narrow" w:cstheme="minorHAnsi"/>
          <w:sz w:val="20"/>
          <w:vertAlign w:val="superscript"/>
        </w:rPr>
        <w:t>3</w:t>
      </w:r>
      <w:r w:rsidRPr="001D1EC7">
        <w:rPr>
          <w:rFonts w:ascii="Arial Narrow" w:hAnsi="Arial Narrow" w:cstheme="minorHAnsi"/>
          <w:sz w:val="20"/>
        </w:rPr>
        <w:t>.</w:t>
      </w:r>
    </w:p>
    <w:p w14:paraId="0BBA41C1" w14:textId="77777777" w:rsidR="0026498A" w:rsidRPr="007268DA" w:rsidRDefault="0026498A" w:rsidP="0026498A">
      <w:pPr>
        <w:pStyle w:val="Zkladntext"/>
        <w:spacing w:line="276" w:lineRule="auto"/>
        <w:jc w:val="both"/>
        <w:rPr>
          <w:rFonts w:ascii="Arial Narrow" w:eastAsia="Calibri" w:hAnsi="Arial Narrow" w:cstheme="minorHAnsi"/>
          <w:sz w:val="20"/>
          <w:szCs w:val="22"/>
          <w:lang w:eastAsia="en-US"/>
        </w:rPr>
      </w:pPr>
      <w:r w:rsidRPr="007268DA">
        <w:rPr>
          <w:rFonts w:ascii="Arial Narrow" w:eastAsia="Calibri" w:hAnsi="Arial Narrow" w:cstheme="minorHAnsi"/>
          <w:sz w:val="20"/>
          <w:szCs w:val="22"/>
          <w:lang w:eastAsia="en-US"/>
        </w:rPr>
        <w:t xml:space="preserve">Hadicové zariadenie vo vnútri </w:t>
      </w:r>
      <w:r>
        <w:rPr>
          <w:rFonts w:ascii="Arial Narrow" w:eastAsia="Calibri" w:hAnsi="Arial Narrow" w:cstheme="minorHAnsi"/>
          <w:sz w:val="20"/>
          <w:szCs w:val="22"/>
          <w:lang w:eastAsia="en-US"/>
        </w:rPr>
        <w:t>haly</w:t>
      </w:r>
      <w:r w:rsidRPr="007268DA">
        <w:rPr>
          <w:rFonts w:ascii="Arial Narrow" w:eastAsia="Calibri" w:hAnsi="Arial Narrow" w:cstheme="minorHAnsi"/>
          <w:sz w:val="20"/>
          <w:szCs w:val="22"/>
          <w:lang w:eastAsia="en-US"/>
        </w:rPr>
        <w:t xml:space="preserve"> je navrhnuté v zmysle § 10 ods. 2 písm. c)  vyhl. MV SR č. 699/2004 Z. z.. V posudzovanom objekte je navrhnutý hadicový navijak s trvale stálou hadicou s dĺžkou hadice 30 metrov, s menovitou svetlosťou 25 mm, s minimálnym priemerom hubice alebo ekvivalentným priemerom 10 mm s minimálnym prietokom Q = 59 l.min-1 pri tlaku 0,2 MPa. Na najnepriaznivejšom prietoku hadicového zariadenia musí byť najmenší hydrodynamický pretlak 0,2 MPa. Hadicové zariadenia musia byť umiestnené tak, aby uzatváracia armatúra alebo uzatvárací ventil bol najviac vo výške 1,3 m nad podlahou a aby bol k nim umožnený ľahký prístup a nezužovali trvale voľný komunikačný priestor. Rozmiestnenie hadicových navijakov je zrejmé z výkresov pôdorysu </w:t>
      </w:r>
      <w:r>
        <w:rPr>
          <w:rFonts w:ascii="Arial Narrow" w:eastAsia="Calibri" w:hAnsi="Arial Narrow" w:cstheme="minorHAnsi"/>
          <w:sz w:val="20"/>
          <w:szCs w:val="22"/>
          <w:lang w:eastAsia="en-US"/>
        </w:rPr>
        <w:t>a</w:t>
      </w:r>
      <w:r w:rsidRPr="007268DA">
        <w:rPr>
          <w:rFonts w:ascii="Arial Narrow" w:eastAsia="Calibri" w:hAnsi="Arial Narrow" w:cstheme="minorHAnsi"/>
          <w:sz w:val="20"/>
          <w:szCs w:val="22"/>
          <w:lang w:eastAsia="en-US"/>
        </w:rPr>
        <w:t xml:space="preserve"> bude také, aby v zmysle čl. 5.3 STN 92 0400 bolo možné viesť zásah jedným prúdom hadicového zariadenia. </w:t>
      </w:r>
      <w:r w:rsidRPr="007268DA">
        <w:rPr>
          <w:rFonts w:ascii="Arial Narrow" w:eastAsia="Calibri" w:hAnsi="Arial Narrow" w:cstheme="minorHAnsi"/>
          <w:b/>
          <w:bCs/>
          <w:sz w:val="20"/>
          <w:szCs w:val="22"/>
          <w:lang w:eastAsia="en-US"/>
        </w:rPr>
        <w:t>Nástenný hydrant je osadení na nezavodnenom vodovodnom  potrubí.  V zmysle čl. 5.10.1 uzáver prívodu vody do nezavodneného potrubia musí:</w:t>
      </w:r>
    </w:p>
    <w:p w14:paraId="03793FE4" w14:textId="77777777" w:rsidR="0026498A" w:rsidRPr="007268DA" w:rsidRDefault="0026498A" w:rsidP="0026498A">
      <w:pPr>
        <w:pStyle w:val="Zkladntext"/>
        <w:numPr>
          <w:ilvl w:val="0"/>
          <w:numId w:val="25"/>
        </w:numPr>
        <w:spacing w:after="60" w:line="276" w:lineRule="auto"/>
        <w:jc w:val="both"/>
        <w:rPr>
          <w:rFonts w:ascii="Arial Narrow" w:eastAsia="Calibri" w:hAnsi="Arial Narrow" w:cstheme="minorHAnsi"/>
          <w:sz w:val="20"/>
          <w:szCs w:val="22"/>
          <w:lang w:eastAsia="en-US"/>
        </w:rPr>
      </w:pPr>
      <w:r w:rsidRPr="007268DA">
        <w:rPr>
          <w:rFonts w:ascii="Arial Narrow" w:eastAsia="Calibri" w:hAnsi="Arial Narrow" w:cstheme="minorHAnsi"/>
          <w:sz w:val="20"/>
          <w:szCs w:val="22"/>
          <w:lang w:eastAsia="en-US"/>
        </w:rPr>
        <w:t>byť vždy umiestnený do vzdialenosti 30 m v smere úniku;</w:t>
      </w:r>
    </w:p>
    <w:p w14:paraId="5D94B8D6" w14:textId="77777777" w:rsidR="0026498A" w:rsidRPr="007268DA" w:rsidRDefault="0026498A" w:rsidP="0026498A">
      <w:pPr>
        <w:pStyle w:val="Zkladntext"/>
        <w:numPr>
          <w:ilvl w:val="0"/>
          <w:numId w:val="25"/>
        </w:numPr>
        <w:spacing w:after="60" w:line="276" w:lineRule="auto"/>
        <w:jc w:val="both"/>
        <w:rPr>
          <w:rFonts w:ascii="Arial Narrow" w:eastAsia="Calibri" w:hAnsi="Arial Narrow" w:cstheme="minorHAnsi"/>
          <w:sz w:val="20"/>
          <w:szCs w:val="22"/>
          <w:lang w:eastAsia="en-US"/>
        </w:rPr>
      </w:pPr>
      <w:r w:rsidRPr="007268DA">
        <w:rPr>
          <w:rFonts w:ascii="Arial Narrow" w:eastAsia="Calibri" w:hAnsi="Arial Narrow" w:cstheme="minorHAnsi"/>
          <w:sz w:val="20"/>
          <w:szCs w:val="22"/>
          <w:lang w:eastAsia="en-US"/>
        </w:rPr>
        <w:t xml:space="preserve">byť vždy umiestený v priestore chránenom proti zamrznutiu; </w:t>
      </w:r>
    </w:p>
    <w:p w14:paraId="2D83CDA0" w14:textId="77777777" w:rsidR="0026498A" w:rsidRPr="007268DA" w:rsidRDefault="0026498A" w:rsidP="0026498A">
      <w:pPr>
        <w:pStyle w:val="Zkladntext"/>
        <w:numPr>
          <w:ilvl w:val="0"/>
          <w:numId w:val="25"/>
        </w:numPr>
        <w:spacing w:after="60" w:line="276" w:lineRule="auto"/>
        <w:jc w:val="both"/>
        <w:rPr>
          <w:rFonts w:ascii="Arial Narrow" w:eastAsia="Calibri" w:hAnsi="Arial Narrow" w:cstheme="minorHAnsi"/>
          <w:sz w:val="20"/>
          <w:szCs w:val="22"/>
          <w:lang w:eastAsia="en-US"/>
        </w:rPr>
      </w:pPr>
      <w:r w:rsidRPr="007268DA">
        <w:rPr>
          <w:rFonts w:ascii="Arial Narrow" w:eastAsia="Calibri" w:hAnsi="Arial Narrow" w:cstheme="minorHAnsi"/>
          <w:sz w:val="20"/>
          <w:szCs w:val="22"/>
          <w:lang w:eastAsia="en-US"/>
        </w:rPr>
        <w:t xml:space="preserve">byť ľahko prístupný z únikovej cesty; </w:t>
      </w:r>
    </w:p>
    <w:p w14:paraId="34742B79" w14:textId="77777777" w:rsidR="0026498A" w:rsidRPr="007268DA" w:rsidRDefault="0026498A" w:rsidP="0026498A">
      <w:pPr>
        <w:pStyle w:val="Zkladntext"/>
        <w:numPr>
          <w:ilvl w:val="0"/>
          <w:numId w:val="25"/>
        </w:numPr>
        <w:spacing w:after="60" w:line="276" w:lineRule="auto"/>
        <w:jc w:val="both"/>
        <w:rPr>
          <w:rFonts w:ascii="Arial Narrow" w:eastAsia="Calibri" w:hAnsi="Arial Narrow" w:cstheme="minorHAnsi"/>
          <w:sz w:val="20"/>
          <w:szCs w:val="22"/>
          <w:lang w:eastAsia="en-US"/>
        </w:rPr>
      </w:pPr>
      <w:r w:rsidRPr="007268DA">
        <w:rPr>
          <w:rFonts w:ascii="Arial Narrow" w:eastAsia="Calibri" w:hAnsi="Arial Narrow" w:cstheme="minorHAnsi"/>
          <w:sz w:val="20"/>
          <w:szCs w:val="22"/>
          <w:lang w:eastAsia="en-US"/>
        </w:rPr>
        <w:t xml:space="preserve">byť označený pri každom hadicovom zariadení a </w:t>
      </w:r>
    </w:p>
    <w:p w14:paraId="67B48B35" w14:textId="77777777" w:rsidR="0026498A" w:rsidRPr="007268DA" w:rsidRDefault="0026498A" w:rsidP="0026498A">
      <w:pPr>
        <w:pStyle w:val="Zkladntext"/>
        <w:numPr>
          <w:ilvl w:val="0"/>
          <w:numId w:val="25"/>
        </w:numPr>
        <w:spacing w:line="276" w:lineRule="auto"/>
        <w:jc w:val="both"/>
        <w:rPr>
          <w:rFonts w:ascii="Arial Narrow" w:eastAsia="Calibri" w:hAnsi="Arial Narrow" w:cstheme="minorHAnsi"/>
          <w:sz w:val="20"/>
          <w:szCs w:val="22"/>
          <w:lang w:eastAsia="en-US"/>
        </w:rPr>
      </w:pPr>
      <w:r w:rsidRPr="007268DA">
        <w:rPr>
          <w:rFonts w:ascii="Arial Narrow" w:eastAsia="Calibri" w:hAnsi="Arial Narrow" w:cstheme="minorHAnsi"/>
          <w:sz w:val="20"/>
          <w:szCs w:val="22"/>
          <w:lang w:eastAsia="en-US"/>
        </w:rPr>
        <w:t>mať vypúšťacie zariadenie v najnižšom mieste nezavodneného vodovodného potrubia.</w:t>
      </w:r>
    </w:p>
    <w:p w14:paraId="144D70AF" w14:textId="77777777" w:rsidR="0026498A" w:rsidRDefault="0026498A" w:rsidP="0026498A">
      <w:pPr>
        <w:pStyle w:val="Zkladntext"/>
        <w:spacing w:after="60"/>
        <w:ind w:firstLine="708"/>
        <w:jc w:val="both"/>
        <w:rPr>
          <w:rFonts w:ascii="Arial Narrow" w:eastAsia="Calibri" w:hAnsi="Arial Narrow" w:cstheme="minorHAnsi"/>
          <w:sz w:val="20"/>
          <w:szCs w:val="22"/>
          <w:lang w:eastAsia="en-US"/>
        </w:rPr>
      </w:pPr>
      <w:r w:rsidRPr="007268DA">
        <w:rPr>
          <w:rFonts w:ascii="Arial Narrow" w:eastAsia="Calibri" w:hAnsi="Arial Narrow" w:cstheme="minorHAnsi"/>
          <w:sz w:val="20"/>
          <w:szCs w:val="22"/>
          <w:lang w:eastAsia="en-US"/>
        </w:rPr>
        <w:t xml:space="preserve">V zmysle § 15 vyhl. 699/2004 </w:t>
      </w:r>
      <w:proofErr w:type="spellStart"/>
      <w:r w:rsidRPr="007268DA">
        <w:rPr>
          <w:rFonts w:ascii="Arial Narrow" w:eastAsia="Calibri" w:hAnsi="Arial Narrow" w:cstheme="minorHAnsi"/>
          <w:sz w:val="20"/>
          <w:szCs w:val="22"/>
          <w:lang w:eastAsia="en-US"/>
        </w:rPr>
        <w:t>Z.z</w:t>
      </w:r>
      <w:proofErr w:type="spellEnd"/>
      <w:r w:rsidRPr="007268DA">
        <w:rPr>
          <w:rFonts w:ascii="Arial Narrow" w:eastAsia="Calibri" w:hAnsi="Arial Narrow" w:cstheme="minorHAnsi"/>
          <w:sz w:val="20"/>
          <w:szCs w:val="22"/>
          <w:lang w:eastAsia="en-US"/>
        </w:rPr>
        <w:t xml:space="preserve">. a prílohy C v STN 92 0400 pri uvedení zariadenia do prevádzky určuje, že sa vykonáva tlaková skúška tesnosti a kontrola požiarneho vodovodu. </w:t>
      </w:r>
    </w:p>
    <w:p w14:paraId="79E8A9C9" w14:textId="77777777" w:rsidR="0026498A" w:rsidRPr="001D1EC7" w:rsidRDefault="0026498A" w:rsidP="0026498A">
      <w:pPr>
        <w:pStyle w:val="Zkladntext"/>
        <w:spacing w:after="60"/>
        <w:ind w:firstLine="708"/>
        <w:jc w:val="both"/>
        <w:rPr>
          <w:rFonts w:ascii="Arial Narrow" w:eastAsia="Calibri" w:hAnsi="Arial Narrow" w:cstheme="minorHAnsi"/>
          <w:sz w:val="20"/>
          <w:szCs w:val="20"/>
          <w:lang w:eastAsia="en-US"/>
        </w:rPr>
      </w:pPr>
      <w:r w:rsidRPr="001F7759">
        <w:rPr>
          <w:rFonts w:ascii="Arial Narrow" w:eastAsia="Calibri" w:hAnsi="Arial Narrow" w:cstheme="minorHAnsi"/>
          <w:sz w:val="20"/>
          <w:szCs w:val="22"/>
          <w:lang w:eastAsia="en-US"/>
        </w:rPr>
        <w:t xml:space="preserve"> </w:t>
      </w:r>
      <w:r w:rsidRPr="001D1EC7">
        <w:rPr>
          <w:rFonts w:ascii="Arial Narrow" w:eastAsia="Calibri" w:hAnsi="Arial Narrow" w:cstheme="minorHAnsi"/>
          <w:sz w:val="20"/>
          <w:szCs w:val="20"/>
          <w:lang w:eastAsia="en-US"/>
        </w:rPr>
        <w:t xml:space="preserve">V zmysle § 3 vyhl. MV 699/2004 </w:t>
      </w:r>
      <w:proofErr w:type="spellStart"/>
      <w:r w:rsidRPr="001D1EC7">
        <w:rPr>
          <w:rFonts w:ascii="Arial Narrow" w:eastAsia="Calibri" w:hAnsi="Arial Narrow" w:cstheme="minorHAnsi"/>
          <w:sz w:val="20"/>
          <w:szCs w:val="20"/>
          <w:lang w:eastAsia="en-US"/>
        </w:rPr>
        <w:t>Z.z</w:t>
      </w:r>
      <w:proofErr w:type="spellEnd"/>
      <w:r w:rsidRPr="001D1EC7">
        <w:rPr>
          <w:rFonts w:ascii="Arial Narrow" w:eastAsia="Calibri" w:hAnsi="Arial Narrow" w:cstheme="minorHAnsi"/>
          <w:sz w:val="20"/>
          <w:szCs w:val="20"/>
          <w:lang w:eastAsia="en-US"/>
        </w:rPr>
        <w:t xml:space="preserve"> musí byť stavba pre prípad vzniku požiaru zabezpečená vodou na hasenie požiarov. Potreba vody na hasenie bude zabezpečená požiarnou nádržou. Pri objekte </w:t>
      </w:r>
      <w:r>
        <w:rPr>
          <w:rFonts w:ascii="Arial Narrow" w:eastAsia="Calibri" w:hAnsi="Arial Narrow" w:cstheme="minorHAnsi"/>
          <w:sz w:val="20"/>
          <w:szCs w:val="20"/>
          <w:lang w:eastAsia="en-US"/>
        </w:rPr>
        <w:t xml:space="preserve">je </w:t>
      </w:r>
      <w:r w:rsidRPr="001D1EC7">
        <w:rPr>
          <w:rFonts w:ascii="Arial Narrow" w:eastAsia="Calibri" w:hAnsi="Arial Narrow" w:cstheme="minorHAnsi"/>
          <w:sz w:val="20"/>
          <w:szCs w:val="20"/>
          <w:lang w:eastAsia="en-US"/>
        </w:rPr>
        <w:t xml:space="preserve">vybudovaná požiarna nádrž o objeme </w:t>
      </w:r>
      <w:r>
        <w:rPr>
          <w:rFonts w:ascii="Arial Narrow" w:eastAsia="Calibri" w:hAnsi="Arial Narrow" w:cstheme="minorHAnsi"/>
          <w:sz w:val="20"/>
          <w:szCs w:val="20"/>
          <w:lang w:eastAsia="en-US"/>
        </w:rPr>
        <w:t>35</w:t>
      </w:r>
      <w:r w:rsidRPr="001D1EC7">
        <w:rPr>
          <w:rFonts w:ascii="Arial Narrow" w:eastAsia="Calibri" w:hAnsi="Arial Narrow" w:cstheme="minorHAnsi"/>
          <w:sz w:val="20"/>
          <w:szCs w:val="20"/>
          <w:lang w:eastAsia="en-US"/>
        </w:rPr>
        <w:t xml:space="preserve"> m</w:t>
      </w:r>
      <w:r w:rsidRPr="001D1EC7">
        <w:rPr>
          <w:rFonts w:ascii="Arial Narrow" w:eastAsia="Calibri" w:hAnsi="Arial Narrow" w:cstheme="minorHAnsi"/>
          <w:sz w:val="20"/>
          <w:szCs w:val="20"/>
          <w:vertAlign w:val="superscript"/>
          <w:lang w:eastAsia="en-US"/>
        </w:rPr>
        <w:t>3</w:t>
      </w:r>
      <w:r w:rsidRPr="001D1EC7">
        <w:rPr>
          <w:rFonts w:ascii="Arial Narrow" w:eastAsia="Calibri" w:hAnsi="Arial Narrow" w:cstheme="minorHAnsi"/>
          <w:sz w:val="20"/>
          <w:szCs w:val="20"/>
          <w:lang w:eastAsia="en-US"/>
        </w:rPr>
        <w:t xml:space="preserve">. </w:t>
      </w:r>
      <w:r w:rsidRPr="001D1EC7">
        <w:rPr>
          <w:rFonts w:ascii="Arial Narrow" w:hAnsi="Arial Narrow" w:cstheme="minorHAnsi"/>
          <w:sz w:val="20"/>
          <w:szCs w:val="20"/>
        </w:rPr>
        <w:t>Viď situácia.</w:t>
      </w:r>
    </w:p>
    <w:p w14:paraId="6DC67768" w14:textId="77777777" w:rsidR="0026498A" w:rsidRPr="001D1EC7" w:rsidRDefault="0026498A" w:rsidP="0042563D">
      <w:pPr>
        <w:pStyle w:val="Zkladntext"/>
        <w:spacing w:after="60"/>
        <w:ind w:firstLine="708"/>
        <w:jc w:val="both"/>
        <w:rPr>
          <w:rFonts w:ascii="Arial Narrow" w:eastAsia="Calibri" w:hAnsi="Arial Narrow" w:cstheme="minorHAnsi"/>
          <w:sz w:val="20"/>
          <w:szCs w:val="20"/>
          <w:lang w:eastAsia="en-US"/>
        </w:rPr>
      </w:pPr>
      <w:r w:rsidRPr="001D1EC7">
        <w:rPr>
          <w:rFonts w:ascii="Arial Narrow" w:eastAsia="Calibri" w:hAnsi="Arial Narrow" w:cstheme="minorHAnsi"/>
          <w:sz w:val="20"/>
          <w:szCs w:val="20"/>
          <w:lang w:eastAsia="en-US"/>
        </w:rPr>
        <w:t>Pre čerpanie vody z požiarnej nádrže musia byť splnené nasledujúce podmienky:</w:t>
      </w:r>
    </w:p>
    <w:p w14:paraId="71DFC67E" w14:textId="77777777" w:rsidR="0026498A" w:rsidRPr="001D1EC7" w:rsidRDefault="0026498A" w:rsidP="0042563D">
      <w:pPr>
        <w:pStyle w:val="Zkladntext"/>
        <w:numPr>
          <w:ilvl w:val="0"/>
          <w:numId w:val="24"/>
        </w:numPr>
        <w:spacing w:after="60"/>
        <w:ind w:left="1843"/>
        <w:jc w:val="both"/>
        <w:rPr>
          <w:rFonts w:ascii="Arial Narrow" w:eastAsia="Calibri" w:hAnsi="Arial Narrow" w:cstheme="minorHAnsi"/>
          <w:sz w:val="20"/>
          <w:szCs w:val="20"/>
          <w:lang w:eastAsia="en-US"/>
        </w:rPr>
      </w:pPr>
      <w:r w:rsidRPr="001D1EC7">
        <w:rPr>
          <w:rFonts w:ascii="Arial Narrow" w:eastAsia="Calibri" w:hAnsi="Arial Narrow" w:cstheme="minorHAnsi"/>
          <w:sz w:val="20"/>
          <w:szCs w:val="20"/>
          <w:lang w:eastAsia="en-US"/>
        </w:rPr>
        <w:t>musí byť k nej voľná prístupová komunikácia</w:t>
      </w:r>
    </w:p>
    <w:p w14:paraId="30CEB767" w14:textId="77777777" w:rsidR="0026498A" w:rsidRPr="001D1EC7" w:rsidRDefault="0026498A" w:rsidP="0042563D">
      <w:pPr>
        <w:pStyle w:val="Zkladntext"/>
        <w:numPr>
          <w:ilvl w:val="0"/>
          <w:numId w:val="24"/>
        </w:numPr>
        <w:spacing w:after="60"/>
        <w:ind w:left="1843"/>
        <w:jc w:val="both"/>
        <w:rPr>
          <w:rFonts w:ascii="Arial Narrow" w:eastAsia="Calibri" w:hAnsi="Arial Narrow" w:cstheme="minorHAnsi"/>
          <w:sz w:val="20"/>
          <w:szCs w:val="20"/>
          <w:lang w:eastAsia="en-US"/>
        </w:rPr>
      </w:pPr>
      <w:r w:rsidRPr="001D1EC7">
        <w:rPr>
          <w:rFonts w:ascii="Arial Narrow" w:eastAsia="Calibri" w:hAnsi="Arial Narrow" w:cstheme="minorHAnsi"/>
          <w:sz w:val="20"/>
          <w:szCs w:val="20"/>
          <w:lang w:eastAsia="en-US"/>
        </w:rPr>
        <w:t>musí byť pri ňom voľné čerpacie stanovište vhodné na použitie hasičskej techniky, označené dopravnou značkou ZÁKAZ STÁTIA</w:t>
      </w:r>
    </w:p>
    <w:p w14:paraId="055EA5FD" w14:textId="77777777" w:rsidR="0026498A" w:rsidRPr="001D1EC7" w:rsidRDefault="0026498A" w:rsidP="0042563D">
      <w:pPr>
        <w:pStyle w:val="Zkladntext"/>
        <w:numPr>
          <w:ilvl w:val="0"/>
          <w:numId w:val="24"/>
        </w:numPr>
        <w:spacing w:after="60"/>
        <w:ind w:left="1843"/>
        <w:jc w:val="both"/>
        <w:rPr>
          <w:rFonts w:ascii="Arial Narrow" w:eastAsia="Calibri" w:hAnsi="Arial Narrow" w:cstheme="minorHAnsi"/>
          <w:sz w:val="20"/>
          <w:szCs w:val="20"/>
          <w:lang w:eastAsia="en-US"/>
        </w:rPr>
      </w:pPr>
      <w:r w:rsidRPr="001D1EC7">
        <w:rPr>
          <w:rFonts w:ascii="Arial Narrow" w:eastAsia="Calibri" w:hAnsi="Arial Narrow" w:cstheme="minorHAnsi"/>
          <w:sz w:val="20"/>
          <w:szCs w:val="20"/>
          <w:lang w:eastAsia="en-US"/>
        </w:rPr>
        <w:t>musí mať minimálnu hĺbku zdroja vody 1 m a na maximálnu nasávaciu výšku vody 6,5 m</w:t>
      </w:r>
    </w:p>
    <w:p w14:paraId="1B129DE6" w14:textId="77777777" w:rsidR="0026498A" w:rsidRPr="001D1EC7" w:rsidRDefault="0026498A" w:rsidP="0042563D">
      <w:pPr>
        <w:pStyle w:val="Zkladntext"/>
        <w:numPr>
          <w:ilvl w:val="0"/>
          <w:numId w:val="24"/>
        </w:numPr>
        <w:spacing w:after="60"/>
        <w:ind w:left="1843"/>
        <w:jc w:val="both"/>
        <w:rPr>
          <w:rFonts w:ascii="Arial Narrow" w:eastAsia="Calibri" w:hAnsi="Arial Narrow" w:cstheme="minorHAnsi"/>
          <w:sz w:val="20"/>
          <w:szCs w:val="20"/>
          <w:lang w:eastAsia="en-US"/>
        </w:rPr>
      </w:pPr>
      <w:r w:rsidRPr="001D1EC7">
        <w:rPr>
          <w:rFonts w:ascii="Arial Narrow" w:eastAsia="Calibri" w:hAnsi="Arial Narrow" w:cstheme="minorHAnsi"/>
          <w:sz w:val="20"/>
          <w:szCs w:val="20"/>
          <w:lang w:eastAsia="en-US"/>
        </w:rPr>
        <w:t>vzdialenosť medzi sacími hadicovými spojkami odberného miesta s výtokom DN 110 a požiarneho čerpadla musí byť menšia ako dĺžka štyroch sacích požiarnych hadíc po skutočnej trase; najviac však 9,0 metrov</w:t>
      </w:r>
    </w:p>
    <w:p w14:paraId="344042DE" w14:textId="77777777" w:rsidR="0026498A" w:rsidRPr="001D1EC7" w:rsidRDefault="0026498A" w:rsidP="0042563D">
      <w:pPr>
        <w:pStyle w:val="Zkladntext"/>
        <w:numPr>
          <w:ilvl w:val="0"/>
          <w:numId w:val="24"/>
        </w:numPr>
        <w:spacing w:after="60"/>
        <w:ind w:left="1843"/>
        <w:jc w:val="both"/>
        <w:rPr>
          <w:rFonts w:ascii="Arial Narrow" w:eastAsia="Calibri" w:hAnsi="Arial Narrow" w:cstheme="minorHAnsi"/>
          <w:sz w:val="20"/>
          <w:szCs w:val="20"/>
          <w:lang w:eastAsia="en-US"/>
        </w:rPr>
      </w:pPr>
      <w:r w:rsidRPr="001D1EC7">
        <w:rPr>
          <w:rFonts w:ascii="Arial Narrow" w:eastAsia="Calibri" w:hAnsi="Arial Narrow" w:cstheme="minorHAnsi"/>
          <w:sz w:val="20"/>
          <w:szCs w:val="20"/>
          <w:lang w:eastAsia="en-US"/>
        </w:rPr>
        <w:t>minimálnu veľkosť otvoru (poklopu) v zákrytovej doske požiarnej nádrže musí byť minimálne 30 cm</w:t>
      </w:r>
    </w:p>
    <w:p w14:paraId="3073F4C9" w14:textId="4D148799" w:rsidR="0026498A" w:rsidRPr="0026498A" w:rsidRDefault="0026498A" w:rsidP="0026498A">
      <w:pPr>
        <w:pStyle w:val="Zkladntext"/>
        <w:spacing w:after="160" w:line="276" w:lineRule="auto"/>
        <w:ind w:firstLine="708"/>
        <w:jc w:val="both"/>
        <w:rPr>
          <w:rFonts w:ascii="Arial Narrow" w:eastAsia="Calibri" w:hAnsi="Arial Narrow" w:cstheme="minorHAnsi"/>
          <w:sz w:val="20"/>
          <w:szCs w:val="22"/>
          <w:lang w:eastAsia="en-US"/>
        </w:rPr>
      </w:pPr>
      <w:r w:rsidRPr="00CD4CD6">
        <w:rPr>
          <w:rFonts w:ascii="Arial Narrow" w:eastAsia="Calibri" w:hAnsi="Arial Narrow" w:cstheme="minorHAnsi"/>
          <w:sz w:val="20"/>
          <w:szCs w:val="22"/>
          <w:lang w:eastAsia="en-US"/>
        </w:rPr>
        <w:t xml:space="preserve">Odberné miesto musí byť viditeľne označené červenou farbou a umiestnené tak, aby bolo vždy prístupné pre hasičskú techniku a prevádzkyschopné (v zmysle ods. 7 § 8 vyhl. MV 699/2004 </w:t>
      </w:r>
      <w:proofErr w:type="spellStart"/>
      <w:r w:rsidRPr="00CD4CD6">
        <w:rPr>
          <w:rFonts w:ascii="Arial Narrow" w:eastAsia="Calibri" w:hAnsi="Arial Narrow" w:cstheme="minorHAnsi"/>
          <w:sz w:val="20"/>
          <w:szCs w:val="22"/>
          <w:lang w:eastAsia="en-US"/>
        </w:rPr>
        <w:t>Z.z</w:t>
      </w:r>
      <w:proofErr w:type="spellEnd"/>
      <w:r w:rsidRPr="00CD4CD6">
        <w:rPr>
          <w:rFonts w:ascii="Arial Narrow" w:eastAsia="Calibri" w:hAnsi="Arial Narrow" w:cstheme="minorHAnsi"/>
          <w:sz w:val="20"/>
          <w:szCs w:val="22"/>
          <w:lang w:eastAsia="en-US"/>
        </w:rPr>
        <w:t>..).</w:t>
      </w:r>
    </w:p>
    <w:p w14:paraId="4BDD110D" w14:textId="77777777" w:rsidR="006F1BEF" w:rsidRPr="00E00E60" w:rsidRDefault="006F1BEF" w:rsidP="00C80BEC">
      <w:pPr>
        <w:pStyle w:val="Odsekzoznamu"/>
        <w:numPr>
          <w:ilvl w:val="0"/>
          <w:numId w:val="1"/>
        </w:numPr>
        <w:spacing w:before="240" w:after="120" w:line="276" w:lineRule="auto"/>
        <w:rPr>
          <w:rFonts w:ascii="Arial Narrow" w:hAnsi="Arial Narrow" w:cstheme="minorHAnsi"/>
          <w:b/>
          <w:bCs/>
          <w:szCs w:val="20"/>
        </w:rPr>
      </w:pPr>
      <w:r w:rsidRPr="00E00E60">
        <w:rPr>
          <w:rFonts w:ascii="Arial Narrow" w:hAnsi="Arial Narrow" w:cstheme="minorHAnsi"/>
          <w:b/>
          <w:bCs/>
          <w:szCs w:val="20"/>
        </w:rPr>
        <w:t xml:space="preserve">POŽIARNOTECHNICKÉ ZARIADENIA (PTZ) </w:t>
      </w:r>
    </w:p>
    <w:p w14:paraId="7AE3F031" w14:textId="77777777" w:rsidR="006F1BEF" w:rsidRPr="00A37AD8" w:rsidRDefault="006F1BEF" w:rsidP="00C80BEC">
      <w:pPr>
        <w:pStyle w:val="Zkladntext"/>
        <w:tabs>
          <w:tab w:val="left" w:pos="360"/>
        </w:tabs>
        <w:spacing w:after="60" w:line="276" w:lineRule="auto"/>
        <w:jc w:val="both"/>
        <w:rPr>
          <w:rFonts w:ascii="Arial Narrow" w:hAnsi="Arial Narrow" w:cstheme="minorHAnsi"/>
          <w:b/>
          <w:bCs/>
          <w:i/>
          <w:sz w:val="20"/>
          <w:szCs w:val="22"/>
        </w:rPr>
      </w:pPr>
      <w:r w:rsidRPr="00A37AD8">
        <w:rPr>
          <w:rFonts w:ascii="Arial Narrow" w:hAnsi="Arial Narrow" w:cstheme="minorHAnsi"/>
          <w:b/>
          <w:bCs/>
          <w:i/>
          <w:sz w:val="20"/>
          <w:szCs w:val="22"/>
        </w:rPr>
        <w:t>Elektrická požiarna signalizácia (EPS) a hlasová signalizácia požiaru (HSP)</w:t>
      </w:r>
    </w:p>
    <w:p w14:paraId="15828B27" w14:textId="77777777" w:rsidR="006F1BEF" w:rsidRPr="00A37AD8" w:rsidRDefault="006F1BEF" w:rsidP="00C80BEC">
      <w:pPr>
        <w:pStyle w:val="Zkladntext"/>
        <w:tabs>
          <w:tab w:val="left" w:pos="360"/>
        </w:tabs>
        <w:spacing w:after="60" w:line="276" w:lineRule="auto"/>
        <w:jc w:val="both"/>
        <w:rPr>
          <w:rFonts w:ascii="Arial Narrow" w:hAnsi="Arial Narrow" w:cstheme="minorHAnsi"/>
          <w:sz w:val="20"/>
          <w:szCs w:val="22"/>
        </w:rPr>
      </w:pPr>
      <w:r w:rsidRPr="00A37AD8">
        <w:rPr>
          <w:rFonts w:ascii="Arial Narrow" w:hAnsi="Arial Narrow" w:cstheme="minorHAnsi"/>
          <w:sz w:val="20"/>
          <w:szCs w:val="22"/>
        </w:rPr>
        <w:lastRenderedPageBreak/>
        <w:tab/>
      </w:r>
      <w:r w:rsidRPr="00A37AD8">
        <w:rPr>
          <w:rFonts w:ascii="Arial Narrow" w:hAnsi="Arial Narrow" w:cstheme="minorHAnsi"/>
          <w:sz w:val="20"/>
          <w:szCs w:val="22"/>
        </w:rPr>
        <w:tab/>
        <w:t>V zmysle  § 88 a § 90 vyhl. 94/2004 sa tieto PTZ nevyžadujú.</w:t>
      </w:r>
    </w:p>
    <w:p w14:paraId="4C211AAE" w14:textId="77777777" w:rsidR="006F1BEF" w:rsidRPr="00A37AD8" w:rsidRDefault="006F1BEF" w:rsidP="00C80BEC">
      <w:pPr>
        <w:pStyle w:val="Zkladntext"/>
        <w:tabs>
          <w:tab w:val="left" w:pos="360"/>
        </w:tabs>
        <w:spacing w:after="60" w:line="276" w:lineRule="auto"/>
        <w:jc w:val="both"/>
        <w:rPr>
          <w:rFonts w:ascii="Arial Narrow" w:hAnsi="Arial Narrow" w:cstheme="minorHAnsi"/>
          <w:b/>
          <w:sz w:val="20"/>
          <w:szCs w:val="22"/>
        </w:rPr>
      </w:pPr>
      <w:r w:rsidRPr="00A37AD8">
        <w:rPr>
          <w:rFonts w:ascii="Arial Narrow" w:hAnsi="Arial Narrow" w:cstheme="minorHAnsi"/>
          <w:b/>
          <w:bCs/>
          <w:i/>
          <w:sz w:val="20"/>
          <w:szCs w:val="22"/>
        </w:rPr>
        <w:t>Stabilné hasiace zariadenie (SHZ) a zariadenie na odvod tepla a splodín horenia (ZODT)</w:t>
      </w:r>
    </w:p>
    <w:p w14:paraId="66ED6436" w14:textId="27A2D68B" w:rsidR="0011792C" w:rsidRDefault="006F1BEF" w:rsidP="00C80BEC">
      <w:pPr>
        <w:pStyle w:val="Zkladntext"/>
        <w:tabs>
          <w:tab w:val="left" w:pos="360"/>
        </w:tabs>
        <w:spacing w:line="276" w:lineRule="auto"/>
        <w:jc w:val="both"/>
        <w:rPr>
          <w:rFonts w:ascii="Arial Narrow" w:hAnsi="Arial Narrow" w:cstheme="minorHAnsi"/>
          <w:sz w:val="20"/>
          <w:szCs w:val="22"/>
        </w:rPr>
      </w:pPr>
      <w:r w:rsidRPr="00A37AD8">
        <w:rPr>
          <w:rFonts w:ascii="Arial Narrow" w:hAnsi="Arial Narrow" w:cstheme="minorHAnsi"/>
          <w:sz w:val="20"/>
          <w:szCs w:val="22"/>
        </w:rPr>
        <w:tab/>
        <w:t>Podľa § 87 vyhl. 94/2004 sa tieto PTZ nevyžadujú.</w:t>
      </w:r>
    </w:p>
    <w:p w14:paraId="3C2A6B5F" w14:textId="77777777" w:rsidR="006F1BEF" w:rsidRPr="00E00E60" w:rsidRDefault="006F1BEF" w:rsidP="00C80BEC">
      <w:pPr>
        <w:pStyle w:val="Odsekzoznamu"/>
        <w:numPr>
          <w:ilvl w:val="0"/>
          <w:numId w:val="1"/>
        </w:numPr>
        <w:spacing w:before="240" w:after="120" w:line="276" w:lineRule="auto"/>
        <w:rPr>
          <w:rFonts w:ascii="Arial Narrow" w:hAnsi="Arial Narrow" w:cstheme="minorHAnsi"/>
          <w:b/>
          <w:bCs/>
          <w:szCs w:val="20"/>
        </w:rPr>
      </w:pPr>
      <w:r w:rsidRPr="00E00E60">
        <w:rPr>
          <w:rFonts w:ascii="Arial Narrow" w:hAnsi="Arial Narrow" w:cstheme="minorHAnsi"/>
          <w:b/>
          <w:bCs/>
          <w:szCs w:val="20"/>
        </w:rPr>
        <w:t>ZOZNAM POUŽITÝCH VYHLÁŠOK, ZÁKONOV A STN</w:t>
      </w:r>
    </w:p>
    <w:p w14:paraId="4265E9BD" w14:textId="77777777" w:rsidR="006F1BEF" w:rsidRPr="00F82B5B" w:rsidRDefault="006F1BEF" w:rsidP="00C80BEC">
      <w:pPr>
        <w:pStyle w:val="Zkladntext"/>
        <w:spacing w:line="276" w:lineRule="auto"/>
        <w:ind w:firstLine="708"/>
        <w:jc w:val="both"/>
        <w:rPr>
          <w:rFonts w:ascii="Arial Narrow" w:hAnsi="Arial Narrow" w:cstheme="minorHAnsi"/>
          <w:sz w:val="20"/>
          <w:szCs w:val="22"/>
        </w:rPr>
      </w:pPr>
      <w:r w:rsidRPr="00F82B5B">
        <w:rPr>
          <w:rFonts w:ascii="Arial Narrow" w:hAnsi="Arial Narrow" w:cstheme="minorHAnsi"/>
          <w:sz w:val="20"/>
          <w:szCs w:val="22"/>
        </w:rPr>
        <w:t>Zákon č. 133/2013 Z. z. o stavebných výrobkoch a o zmene a doplnení niektorých zákonov.</w:t>
      </w:r>
    </w:p>
    <w:p w14:paraId="5AC4C369" w14:textId="77777777" w:rsidR="006F1BEF" w:rsidRPr="00F82B5B" w:rsidRDefault="006F1BEF" w:rsidP="00C80BEC">
      <w:pPr>
        <w:pStyle w:val="Zkladntext"/>
        <w:spacing w:after="0" w:line="276" w:lineRule="auto"/>
        <w:ind w:firstLine="708"/>
        <w:jc w:val="both"/>
        <w:rPr>
          <w:rFonts w:ascii="Arial Narrow" w:hAnsi="Arial Narrow" w:cstheme="minorHAnsi"/>
          <w:sz w:val="18"/>
          <w:szCs w:val="22"/>
        </w:rPr>
      </w:pPr>
      <w:r w:rsidRPr="00F82B5B">
        <w:rPr>
          <w:rFonts w:ascii="Arial Narrow" w:hAnsi="Arial Narrow" w:cstheme="minorHAnsi"/>
          <w:sz w:val="18"/>
          <w:szCs w:val="22"/>
        </w:rPr>
        <w:t>Vyhláška MV SR č. 94/2004 Z. z., ktorou sa ustanovujú technické požiadavky na protipožiarnu bezpečnosť pri výstavbe a pri užívaní stavieb, v znení vyhlášky č. 307/2007 Z. z., vyhlášky č. 225/2012 Z. z., a  vyhlášky č. 334/2018 Z. z..</w:t>
      </w:r>
    </w:p>
    <w:p w14:paraId="4989857C" w14:textId="77777777" w:rsidR="006F1BEF" w:rsidRPr="00F82B5B" w:rsidRDefault="006F1BEF" w:rsidP="00C80BEC">
      <w:pPr>
        <w:pStyle w:val="Zkladntext"/>
        <w:spacing w:after="0" w:line="276" w:lineRule="auto"/>
        <w:ind w:firstLine="708"/>
        <w:jc w:val="both"/>
        <w:rPr>
          <w:rFonts w:ascii="Arial Narrow" w:hAnsi="Arial Narrow" w:cstheme="minorHAnsi"/>
          <w:sz w:val="20"/>
          <w:szCs w:val="22"/>
        </w:rPr>
      </w:pPr>
      <w:r w:rsidRPr="00F82B5B">
        <w:rPr>
          <w:rFonts w:ascii="Arial Narrow" w:hAnsi="Arial Narrow" w:cstheme="minorHAnsi"/>
          <w:sz w:val="20"/>
          <w:szCs w:val="22"/>
        </w:rPr>
        <w:t>Vyhláška MV SR č.96/2004 Z. z., ktorou sa ustanovujú zásady protipožiarnej bezpečnosti pri manipulácii a skladovaní horľavých kvapalín, ťažkých vykurovacích olejov a rastlinných a živočíšnych tukov a olejov</w:t>
      </w:r>
    </w:p>
    <w:p w14:paraId="3BD2C6EE" w14:textId="77777777" w:rsidR="006F1BEF" w:rsidRPr="00F82B5B" w:rsidRDefault="006F1BEF" w:rsidP="00C80BEC">
      <w:pPr>
        <w:spacing w:after="0" w:line="276" w:lineRule="auto"/>
        <w:ind w:firstLine="708"/>
        <w:jc w:val="both"/>
        <w:rPr>
          <w:rFonts w:ascii="Arial Narrow" w:hAnsi="Arial Narrow" w:cstheme="minorHAnsi"/>
          <w:sz w:val="20"/>
        </w:rPr>
      </w:pPr>
      <w:r w:rsidRPr="00F82B5B">
        <w:rPr>
          <w:rFonts w:ascii="Arial Narrow" w:hAnsi="Arial Narrow" w:cstheme="minorHAnsi"/>
          <w:sz w:val="20"/>
        </w:rPr>
        <w:t>Vyhláška MV SR č. 259/2009 Z. z., ktorou sa mení a dopĺňa vyhláška MV SR č. 121/2002 Z. z o požiarnej prevencii, v znení neskorších predpisov</w:t>
      </w:r>
    </w:p>
    <w:p w14:paraId="20266CFB" w14:textId="77777777" w:rsidR="006F1BEF" w:rsidRPr="00F82B5B" w:rsidRDefault="006F1BEF" w:rsidP="00C80BEC">
      <w:pPr>
        <w:pStyle w:val="Zkladntext"/>
        <w:spacing w:after="0" w:line="276" w:lineRule="auto"/>
        <w:ind w:firstLine="708"/>
        <w:jc w:val="both"/>
        <w:rPr>
          <w:rFonts w:ascii="Arial Narrow" w:hAnsi="Arial Narrow" w:cstheme="minorHAnsi"/>
          <w:sz w:val="20"/>
          <w:szCs w:val="22"/>
        </w:rPr>
      </w:pPr>
      <w:r w:rsidRPr="00F82B5B">
        <w:rPr>
          <w:rFonts w:ascii="Arial Narrow" w:hAnsi="Arial Narrow" w:cstheme="minorHAnsi"/>
          <w:sz w:val="20"/>
          <w:szCs w:val="22"/>
        </w:rPr>
        <w:t>Vyhláška MV SR č. 401/2007 Z. z., ktorou sa ustanovujú technické podmienky a požiadavky protipožiarnej bezpečnosti pri inštalácii a prevádzkovaní palivových spotrebičov, elektrotepelných spotrebičov a zariadení ústredného vykurovania a pri výstavbe a používaní komínov a dymovodov</w:t>
      </w:r>
    </w:p>
    <w:p w14:paraId="7D2FAED3" w14:textId="77777777" w:rsidR="006F1BEF" w:rsidRPr="00F82B5B" w:rsidRDefault="006F1BEF" w:rsidP="00C80BEC">
      <w:pPr>
        <w:pStyle w:val="Zkladntext"/>
        <w:spacing w:after="0" w:line="276" w:lineRule="auto"/>
        <w:ind w:firstLine="708"/>
        <w:jc w:val="both"/>
        <w:rPr>
          <w:rFonts w:ascii="Arial Narrow" w:hAnsi="Arial Narrow" w:cstheme="minorHAnsi"/>
          <w:sz w:val="20"/>
          <w:szCs w:val="22"/>
        </w:rPr>
      </w:pPr>
      <w:r w:rsidRPr="00F82B5B">
        <w:rPr>
          <w:rFonts w:ascii="Arial Narrow" w:hAnsi="Arial Narrow" w:cstheme="minorHAnsi"/>
          <w:sz w:val="20"/>
          <w:szCs w:val="22"/>
        </w:rPr>
        <w:t>Vyhláška MPSVaR SR č. 508/2009 Z. z. ktorou sa ustanovujú podrobnosti na zaistenie bezpečnosti a ochrany zdravia pri práci s technickými zariadeniami tlakovými, zdvíhacími, elektrickými a plynovými a ktorou sa ustanovujú technické zariadenia, ktoré sa považujú za vyhradené technické zariadenia</w:t>
      </w:r>
    </w:p>
    <w:p w14:paraId="2952C618" w14:textId="77777777" w:rsidR="006F1BEF" w:rsidRPr="00F82B5B" w:rsidRDefault="006F1BEF" w:rsidP="00C80BEC">
      <w:pPr>
        <w:pStyle w:val="Zkladntext"/>
        <w:spacing w:line="276" w:lineRule="auto"/>
        <w:ind w:firstLine="708"/>
        <w:jc w:val="both"/>
        <w:rPr>
          <w:rFonts w:ascii="Arial Narrow" w:hAnsi="Arial Narrow" w:cstheme="minorHAnsi"/>
          <w:sz w:val="20"/>
          <w:szCs w:val="22"/>
        </w:rPr>
      </w:pPr>
      <w:r w:rsidRPr="00F82B5B">
        <w:rPr>
          <w:rFonts w:ascii="Arial Narrow" w:hAnsi="Arial Narrow" w:cstheme="minorHAnsi"/>
          <w:sz w:val="20"/>
          <w:szCs w:val="22"/>
        </w:rPr>
        <w:t>Vyhláška MV SR č. 699/2004 Z. z. o zabezpečení stavieb vodou na hasenie požiarov</w:t>
      </w:r>
    </w:p>
    <w:p w14:paraId="678660DB" w14:textId="77777777" w:rsidR="006F1BEF" w:rsidRPr="00F82B5B" w:rsidRDefault="006F1BEF" w:rsidP="00C80BEC">
      <w:pPr>
        <w:pStyle w:val="Zkladntext"/>
        <w:spacing w:after="0" w:line="276" w:lineRule="auto"/>
        <w:ind w:firstLine="708"/>
        <w:jc w:val="both"/>
        <w:rPr>
          <w:rFonts w:ascii="Arial Narrow" w:hAnsi="Arial Narrow" w:cstheme="minorHAnsi"/>
          <w:sz w:val="20"/>
          <w:szCs w:val="22"/>
        </w:rPr>
      </w:pPr>
      <w:r w:rsidRPr="00F82B5B">
        <w:rPr>
          <w:rFonts w:ascii="Arial Narrow" w:hAnsi="Arial Narrow" w:cstheme="minorHAnsi"/>
          <w:sz w:val="20"/>
          <w:szCs w:val="22"/>
        </w:rPr>
        <w:t xml:space="preserve">STN 33 2000-1:2009-04 </w:t>
      </w:r>
      <w:r w:rsidRPr="00F82B5B">
        <w:rPr>
          <w:rFonts w:ascii="Arial Narrow" w:hAnsi="Arial Narrow" w:cstheme="minorHAnsi"/>
          <w:sz w:val="20"/>
          <w:szCs w:val="22"/>
        </w:rPr>
        <w:tab/>
        <w:t>Elektrické inštalácie budov. Časť 1: Rozsah platnosti, účel a základné princípy</w:t>
      </w:r>
    </w:p>
    <w:p w14:paraId="293E9F1B" w14:textId="77777777" w:rsidR="006F1BEF" w:rsidRPr="00F82B5B" w:rsidRDefault="006F1BEF" w:rsidP="00C80BEC">
      <w:pPr>
        <w:pStyle w:val="Zkladntext"/>
        <w:spacing w:after="0" w:line="276" w:lineRule="auto"/>
        <w:ind w:left="2832" w:hanging="2124"/>
        <w:jc w:val="both"/>
        <w:rPr>
          <w:rFonts w:ascii="Arial Narrow" w:hAnsi="Arial Narrow" w:cstheme="minorHAnsi"/>
          <w:sz w:val="20"/>
          <w:szCs w:val="22"/>
        </w:rPr>
      </w:pPr>
      <w:r w:rsidRPr="00F82B5B">
        <w:rPr>
          <w:rFonts w:ascii="Arial Narrow" w:hAnsi="Arial Narrow" w:cstheme="minorHAnsi"/>
          <w:sz w:val="20"/>
          <w:szCs w:val="22"/>
        </w:rPr>
        <w:t>STN 33 2000-4-42:2012-04</w:t>
      </w:r>
      <w:r w:rsidRPr="00F82B5B">
        <w:rPr>
          <w:rFonts w:ascii="Arial Narrow" w:hAnsi="Arial Narrow" w:cstheme="minorHAnsi"/>
          <w:sz w:val="20"/>
          <w:szCs w:val="22"/>
        </w:rPr>
        <w:tab/>
        <w:t>Elektrické inštalácie budov. Časť 4: Zaistenie bezpečnosti. Kapitola 42: Ochrana pred účinkami tepla</w:t>
      </w:r>
    </w:p>
    <w:p w14:paraId="626A97B6" w14:textId="2A30F458" w:rsidR="006F1BEF" w:rsidRPr="00F82B5B" w:rsidRDefault="006F1BEF" w:rsidP="00F82B5B">
      <w:pPr>
        <w:pStyle w:val="Zkladntext"/>
        <w:spacing w:after="0" w:line="276" w:lineRule="auto"/>
        <w:ind w:left="2832" w:hanging="2124"/>
        <w:jc w:val="both"/>
        <w:rPr>
          <w:rFonts w:ascii="Arial Narrow" w:hAnsi="Arial Narrow" w:cstheme="minorHAnsi"/>
          <w:sz w:val="20"/>
          <w:szCs w:val="22"/>
        </w:rPr>
      </w:pPr>
      <w:r w:rsidRPr="00F82B5B">
        <w:rPr>
          <w:rFonts w:ascii="Arial Narrow" w:hAnsi="Arial Narrow" w:cstheme="minorHAnsi"/>
          <w:sz w:val="20"/>
          <w:szCs w:val="22"/>
        </w:rPr>
        <w:t>STN 33 2000-5-51</w:t>
      </w:r>
      <w:r w:rsidRPr="00F82B5B">
        <w:rPr>
          <w:rFonts w:ascii="Arial Narrow" w:hAnsi="Arial Narrow" w:cstheme="minorHAnsi"/>
          <w:sz w:val="20"/>
          <w:szCs w:val="22"/>
        </w:rPr>
        <w:tab/>
      </w:r>
      <w:r w:rsidR="00F82B5B">
        <w:rPr>
          <w:rFonts w:ascii="Arial Narrow" w:hAnsi="Arial Narrow" w:cstheme="minorHAnsi"/>
          <w:sz w:val="20"/>
          <w:szCs w:val="22"/>
        </w:rPr>
        <w:tab/>
      </w:r>
      <w:r w:rsidRPr="00F82B5B">
        <w:rPr>
          <w:rFonts w:ascii="Arial Narrow" w:hAnsi="Arial Narrow" w:cstheme="minorHAnsi"/>
          <w:sz w:val="20"/>
          <w:szCs w:val="22"/>
        </w:rPr>
        <w:t>Elektrické inštalácie budov. Časť 5-51: Výber a stavba elektrických zariadení. Spoločné pravidlá</w:t>
      </w:r>
    </w:p>
    <w:p w14:paraId="2E4B1735" w14:textId="77777777" w:rsidR="006F1BEF" w:rsidRPr="00F82B5B" w:rsidRDefault="006F1BEF" w:rsidP="00C80BEC">
      <w:pPr>
        <w:pStyle w:val="Zkladntext"/>
        <w:spacing w:after="0" w:line="276" w:lineRule="auto"/>
        <w:ind w:left="2832" w:hanging="2124"/>
        <w:jc w:val="both"/>
        <w:rPr>
          <w:rFonts w:ascii="Arial Narrow" w:hAnsi="Arial Narrow" w:cstheme="minorHAnsi"/>
          <w:sz w:val="20"/>
          <w:szCs w:val="22"/>
        </w:rPr>
      </w:pPr>
      <w:r w:rsidRPr="00F82B5B">
        <w:rPr>
          <w:rFonts w:ascii="Arial Narrow" w:hAnsi="Arial Narrow" w:cstheme="minorHAnsi"/>
          <w:sz w:val="20"/>
          <w:szCs w:val="22"/>
        </w:rPr>
        <w:t xml:space="preserve">STN 33 2000-5-52 </w:t>
      </w:r>
      <w:r w:rsidRPr="00F82B5B">
        <w:rPr>
          <w:rFonts w:ascii="Arial Narrow" w:hAnsi="Arial Narrow" w:cstheme="minorHAnsi"/>
          <w:sz w:val="20"/>
          <w:szCs w:val="22"/>
        </w:rPr>
        <w:tab/>
      </w:r>
      <w:r w:rsidRPr="00F82B5B">
        <w:rPr>
          <w:rFonts w:ascii="Arial Narrow" w:hAnsi="Arial Narrow" w:cstheme="minorHAnsi"/>
          <w:sz w:val="20"/>
          <w:szCs w:val="22"/>
        </w:rPr>
        <w:tab/>
        <w:t>Elektrické inštalácie budov. Časť 5-52: Výber a stavba elektrických zariadení. Predpisy pre kladenie silnoprúdových elektrických vedení</w:t>
      </w:r>
    </w:p>
    <w:p w14:paraId="11C609EC" w14:textId="77777777" w:rsidR="006F1BEF" w:rsidRPr="00F82B5B" w:rsidRDefault="006F1BEF" w:rsidP="00C80BEC">
      <w:pPr>
        <w:pStyle w:val="Zkladntext"/>
        <w:spacing w:after="0" w:line="276" w:lineRule="auto"/>
        <w:ind w:left="2832" w:hanging="2124"/>
        <w:jc w:val="both"/>
        <w:rPr>
          <w:rFonts w:ascii="Arial Narrow" w:hAnsi="Arial Narrow" w:cstheme="minorHAnsi"/>
          <w:sz w:val="20"/>
          <w:szCs w:val="22"/>
        </w:rPr>
      </w:pPr>
      <w:r w:rsidRPr="00F82B5B">
        <w:rPr>
          <w:rFonts w:ascii="Arial Narrow" w:hAnsi="Arial Narrow" w:cstheme="minorHAnsi"/>
          <w:sz w:val="20"/>
          <w:szCs w:val="22"/>
        </w:rPr>
        <w:t xml:space="preserve">STN 33 2000-5-54 </w:t>
      </w:r>
      <w:r w:rsidRPr="00F82B5B">
        <w:rPr>
          <w:rFonts w:ascii="Arial Narrow" w:hAnsi="Arial Narrow" w:cstheme="minorHAnsi"/>
          <w:sz w:val="20"/>
          <w:szCs w:val="22"/>
        </w:rPr>
        <w:tab/>
      </w:r>
      <w:r w:rsidRPr="00F82B5B">
        <w:rPr>
          <w:rFonts w:ascii="Arial Narrow" w:hAnsi="Arial Narrow" w:cstheme="minorHAnsi"/>
          <w:sz w:val="20"/>
          <w:szCs w:val="22"/>
        </w:rPr>
        <w:tab/>
        <w:t>Elektrické inštalácie budov. Časť 5-54: Výber a stavba elektrických zariadení. Uzemňovacie sústavy a ochranné vedenie</w:t>
      </w:r>
    </w:p>
    <w:p w14:paraId="75776904" w14:textId="77777777" w:rsidR="006F1BEF" w:rsidRPr="00F82B5B" w:rsidRDefault="006F1BEF" w:rsidP="00C80BEC">
      <w:pPr>
        <w:pStyle w:val="Zkladntext"/>
        <w:spacing w:after="0" w:line="276" w:lineRule="auto"/>
        <w:ind w:firstLine="708"/>
        <w:jc w:val="both"/>
        <w:rPr>
          <w:rFonts w:ascii="Arial Narrow" w:hAnsi="Arial Narrow" w:cstheme="minorHAnsi"/>
          <w:sz w:val="20"/>
          <w:szCs w:val="22"/>
        </w:rPr>
      </w:pPr>
      <w:r w:rsidRPr="00F82B5B">
        <w:rPr>
          <w:rFonts w:ascii="Arial Narrow" w:hAnsi="Arial Narrow" w:cstheme="minorHAnsi"/>
          <w:sz w:val="20"/>
          <w:szCs w:val="22"/>
        </w:rPr>
        <w:t>STN 33 2312:2013-09</w:t>
      </w:r>
      <w:r w:rsidRPr="00F82B5B">
        <w:rPr>
          <w:rFonts w:ascii="Arial Narrow" w:hAnsi="Arial Narrow" w:cstheme="minorHAnsi"/>
          <w:sz w:val="20"/>
          <w:szCs w:val="22"/>
        </w:rPr>
        <w:tab/>
        <w:t>Elektrotechnické predpisy. Elektrické zariadenia v horľavých látkach a na nich</w:t>
      </w:r>
    </w:p>
    <w:p w14:paraId="0104A6D5" w14:textId="77777777" w:rsidR="006F1BEF" w:rsidRPr="00F82B5B" w:rsidRDefault="006F1BEF" w:rsidP="00C80BEC">
      <w:pPr>
        <w:pStyle w:val="Zkladntext"/>
        <w:spacing w:after="0" w:line="276" w:lineRule="auto"/>
        <w:ind w:firstLine="708"/>
        <w:jc w:val="both"/>
        <w:rPr>
          <w:rFonts w:ascii="Arial Narrow" w:hAnsi="Arial Narrow" w:cstheme="minorHAnsi"/>
          <w:sz w:val="20"/>
          <w:szCs w:val="22"/>
        </w:rPr>
      </w:pPr>
      <w:r w:rsidRPr="00F82B5B">
        <w:rPr>
          <w:rFonts w:ascii="Arial Narrow" w:hAnsi="Arial Narrow" w:cstheme="minorHAnsi"/>
          <w:sz w:val="20"/>
          <w:szCs w:val="22"/>
        </w:rPr>
        <w:t xml:space="preserve">STN 73 0837 </w:t>
      </w:r>
      <w:r w:rsidRPr="00F82B5B">
        <w:rPr>
          <w:rFonts w:ascii="Arial Narrow" w:hAnsi="Arial Narrow" w:cstheme="minorHAnsi"/>
          <w:sz w:val="20"/>
          <w:szCs w:val="22"/>
        </w:rPr>
        <w:tab/>
      </w:r>
      <w:r w:rsidRPr="00F82B5B">
        <w:rPr>
          <w:rFonts w:ascii="Arial Narrow" w:hAnsi="Arial Narrow" w:cstheme="minorHAnsi"/>
          <w:sz w:val="20"/>
          <w:szCs w:val="22"/>
        </w:rPr>
        <w:tab/>
        <w:t>Požiarna bezpečnosť stavieb. Jednotlivé a radové garáže</w:t>
      </w:r>
    </w:p>
    <w:p w14:paraId="2A80EDE8" w14:textId="77777777" w:rsidR="006F1BEF" w:rsidRPr="00F82B5B" w:rsidRDefault="006F1BEF" w:rsidP="00C80BEC">
      <w:pPr>
        <w:pStyle w:val="Zkladntext"/>
        <w:spacing w:after="0" w:line="276" w:lineRule="auto"/>
        <w:ind w:left="708"/>
        <w:jc w:val="both"/>
        <w:rPr>
          <w:rFonts w:ascii="Arial Narrow" w:hAnsi="Arial Narrow" w:cstheme="minorHAnsi"/>
          <w:sz w:val="20"/>
          <w:szCs w:val="22"/>
        </w:rPr>
      </w:pPr>
      <w:r w:rsidRPr="00F82B5B">
        <w:rPr>
          <w:rFonts w:ascii="Arial Narrow" w:hAnsi="Arial Narrow" w:cstheme="minorHAnsi"/>
          <w:sz w:val="20"/>
          <w:szCs w:val="22"/>
        </w:rPr>
        <w:t xml:space="preserve">STN 92 0111 </w:t>
      </w:r>
      <w:r w:rsidRPr="00F82B5B">
        <w:rPr>
          <w:rFonts w:ascii="Arial Narrow" w:hAnsi="Arial Narrow" w:cstheme="minorHAnsi"/>
          <w:sz w:val="20"/>
          <w:szCs w:val="22"/>
        </w:rPr>
        <w:tab/>
      </w:r>
      <w:r w:rsidRPr="00F82B5B">
        <w:rPr>
          <w:rFonts w:ascii="Arial Narrow" w:hAnsi="Arial Narrow" w:cstheme="minorHAnsi"/>
          <w:sz w:val="20"/>
          <w:szCs w:val="22"/>
        </w:rPr>
        <w:tab/>
        <w:t>Protipožiarne zariadenia. Grafické značky pre výkresy požiarnej ochrany. Špecifikácia</w:t>
      </w:r>
    </w:p>
    <w:p w14:paraId="2F339D6C" w14:textId="77777777" w:rsidR="006F1BEF" w:rsidRPr="00F82B5B" w:rsidRDefault="006F1BEF" w:rsidP="00C80BEC">
      <w:pPr>
        <w:pStyle w:val="Zkladntext"/>
        <w:spacing w:after="0" w:line="276" w:lineRule="auto"/>
        <w:ind w:left="2832" w:hanging="2124"/>
        <w:jc w:val="both"/>
        <w:rPr>
          <w:rFonts w:ascii="Arial Narrow" w:hAnsi="Arial Narrow" w:cstheme="minorHAnsi"/>
          <w:sz w:val="20"/>
          <w:szCs w:val="22"/>
        </w:rPr>
      </w:pPr>
      <w:r w:rsidRPr="00F82B5B">
        <w:rPr>
          <w:rFonts w:ascii="Arial Narrow" w:hAnsi="Arial Narrow" w:cstheme="minorHAnsi"/>
          <w:sz w:val="20"/>
          <w:szCs w:val="22"/>
        </w:rPr>
        <w:t xml:space="preserve">STN 92 0201-1 </w:t>
      </w:r>
      <w:r w:rsidRPr="00F82B5B">
        <w:rPr>
          <w:rFonts w:ascii="Arial Narrow" w:hAnsi="Arial Narrow" w:cstheme="minorHAnsi"/>
          <w:sz w:val="20"/>
          <w:szCs w:val="22"/>
        </w:rPr>
        <w:tab/>
      </w:r>
      <w:r w:rsidRPr="00F82B5B">
        <w:rPr>
          <w:rFonts w:ascii="Arial Narrow" w:hAnsi="Arial Narrow" w:cstheme="minorHAnsi"/>
          <w:sz w:val="20"/>
          <w:szCs w:val="22"/>
        </w:rPr>
        <w:tab/>
        <w:t>Požiarna bezpečnosť stavieb. Spoločné ustanovenia. Časť 1: Požiarne riziko, veľkosť požiarneho úseku</w:t>
      </w:r>
    </w:p>
    <w:p w14:paraId="6A2B09CB" w14:textId="77777777" w:rsidR="006F1BEF" w:rsidRPr="00F82B5B" w:rsidRDefault="006F1BEF" w:rsidP="00C80BEC">
      <w:pPr>
        <w:pStyle w:val="Zkladntext"/>
        <w:spacing w:after="0" w:line="276" w:lineRule="auto"/>
        <w:ind w:left="708"/>
        <w:jc w:val="both"/>
        <w:rPr>
          <w:rFonts w:ascii="Arial Narrow" w:hAnsi="Arial Narrow" w:cstheme="minorHAnsi"/>
          <w:sz w:val="20"/>
          <w:szCs w:val="22"/>
        </w:rPr>
      </w:pPr>
      <w:r w:rsidRPr="00F82B5B">
        <w:rPr>
          <w:rFonts w:ascii="Arial Narrow" w:hAnsi="Arial Narrow" w:cstheme="minorHAnsi"/>
          <w:sz w:val="20"/>
          <w:szCs w:val="22"/>
        </w:rPr>
        <w:t>STN 92 0201-2:2017</w:t>
      </w:r>
      <w:r w:rsidRPr="00F82B5B">
        <w:rPr>
          <w:rFonts w:ascii="Arial Narrow" w:hAnsi="Arial Narrow" w:cstheme="minorHAnsi"/>
          <w:sz w:val="20"/>
          <w:szCs w:val="22"/>
        </w:rPr>
        <w:tab/>
        <w:t>Požiarna bezpečnosť stavieb. Spoločné ustanovenia. Časť 2: Stavebné konštrukcie</w:t>
      </w:r>
    </w:p>
    <w:p w14:paraId="102392DE" w14:textId="77777777" w:rsidR="006F1BEF" w:rsidRPr="00F82B5B" w:rsidRDefault="006F1BEF" w:rsidP="00C80BEC">
      <w:pPr>
        <w:pStyle w:val="Zkladntext"/>
        <w:spacing w:after="0" w:line="276" w:lineRule="auto"/>
        <w:ind w:left="2832" w:hanging="2124"/>
        <w:jc w:val="both"/>
        <w:rPr>
          <w:rFonts w:ascii="Arial Narrow" w:hAnsi="Arial Narrow" w:cstheme="minorHAnsi"/>
          <w:sz w:val="20"/>
          <w:szCs w:val="22"/>
        </w:rPr>
      </w:pPr>
      <w:r w:rsidRPr="00F82B5B">
        <w:rPr>
          <w:rFonts w:ascii="Arial Narrow" w:hAnsi="Arial Narrow" w:cstheme="minorHAnsi"/>
          <w:sz w:val="20"/>
          <w:szCs w:val="22"/>
        </w:rPr>
        <w:t xml:space="preserve">STN 92 0201-3 </w:t>
      </w:r>
      <w:r w:rsidRPr="00F82B5B">
        <w:rPr>
          <w:rFonts w:ascii="Arial Narrow" w:hAnsi="Arial Narrow" w:cstheme="minorHAnsi"/>
          <w:sz w:val="20"/>
          <w:szCs w:val="22"/>
        </w:rPr>
        <w:tab/>
      </w:r>
      <w:r w:rsidRPr="00F82B5B">
        <w:rPr>
          <w:rFonts w:ascii="Arial Narrow" w:hAnsi="Arial Narrow" w:cstheme="minorHAnsi"/>
          <w:sz w:val="20"/>
          <w:szCs w:val="22"/>
        </w:rPr>
        <w:tab/>
        <w:t>Požiarna bezpečnosť stavieb. Spoločné ustanovenia. Časť 3: Únikové cesty a evakuácia osôb</w:t>
      </w:r>
    </w:p>
    <w:p w14:paraId="3FC60FD6" w14:textId="77777777" w:rsidR="006F1BEF" w:rsidRPr="00F82B5B" w:rsidRDefault="006F1BEF" w:rsidP="00C80BEC">
      <w:pPr>
        <w:pStyle w:val="Zkladntext"/>
        <w:spacing w:after="0" w:line="276" w:lineRule="auto"/>
        <w:ind w:left="2832" w:hanging="2124"/>
        <w:jc w:val="both"/>
        <w:rPr>
          <w:rFonts w:ascii="Arial Narrow" w:hAnsi="Arial Narrow" w:cstheme="minorHAnsi"/>
          <w:sz w:val="20"/>
          <w:szCs w:val="22"/>
        </w:rPr>
      </w:pPr>
      <w:r w:rsidRPr="00F82B5B">
        <w:rPr>
          <w:rFonts w:ascii="Arial Narrow" w:hAnsi="Arial Narrow" w:cstheme="minorHAnsi"/>
          <w:sz w:val="20"/>
          <w:szCs w:val="22"/>
        </w:rPr>
        <w:t xml:space="preserve">STN 92 0201-4 </w:t>
      </w:r>
      <w:r w:rsidRPr="00F82B5B">
        <w:rPr>
          <w:rFonts w:ascii="Arial Narrow" w:hAnsi="Arial Narrow" w:cstheme="minorHAnsi"/>
          <w:sz w:val="20"/>
          <w:szCs w:val="22"/>
        </w:rPr>
        <w:tab/>
      </w:r>
      <w:r w:rsidRPr="00F82B5B">
        <w:rPr>
          <w:rFonts w:ascii="Arial Narrow" w:hAnsi="Arial Narrow" w:cstheme="minorHAnsi"/>
          <w:sz w:val="20"/>
          <w:szCs w:val="22"/>
        </w:rPr>
        <w:tab/>
        <w:t>Požiarna bezpečnosť stavieb. Spoločné ustanovenia. Časť 4: Odstupové vzdialenosti</w:t>
      </w:r>
    </w:p>
    <w:p w14:paraId="2C5A5FA2" w14:textId="77777777" w:rsidR="006F1BEF" w:rsidRPr="00F82B5B" w:rsidRDefault="006F1BEF" w:rsidP="00C80BEC">
      <w:pPr>
        <w:pStyle w:val="Zkladntext"/>
        <w:spacing w:after="0" w:line="276" w:lineRule="auto"/>
        <w:ind w:firstLine="708"/>
        <w:jc w:val="both"/>
        <w:rPr>
          <w:rFonts w:ascii="Arial Narrow" w:hAnsi="Arial Narrow" w:cstheme="minorHAnsi"/>
          <w:sz w:val="20"/>
          <w:szCs w:val="22"/>
          <w:u w:val="single"/>
        </w:rPr>
      </w:pPr>
      <w:r w:rsidRPr="00F82B5B">
        <w:rPr>
          <w:rFonts w:ascii="Arial Narrow" w:hAnsi="Arial Narrow" w:cstheme="minorHAnsi"/>
          <w:sz w:val="20"/>
          <w:szCs w:val="22"/>
        </w:rPr>
        <w:t xml:space="preserve">STN 92 0202-1 </w:t>
      </w:r>
      <w:r w:rsidRPr="00F82B5B">
        <w:rPr>
          <w:rFonts w:ascii="Arial Narrow" w:hAnsi="Arial Narrow" w:cstheme="minorHAnsi"/>
          <w:sz w:val="20"/>
          <w:szCs w:val="22"/>
        </w:rPr>
        <w:tab/>
      </w:r>
      <w:r w:rsidRPr="00F82B5B">
        <w:rPr>
          <w:rFonts w:ascii="Arial Narrow" w:hAnsi="Arial Narrow" w:cstheme="minorHAnsi"/>
          <w:sz w:val="20"/>
          <w:szCs w:val="22"/>
        </w:rPr>
        <w:tab/>
        <w:t>Požiarna bezpečnosť stavieb. Vybavovanie stavieb hasiacimi prístrojmi</w:t>
      </w:r>
    </w:p>
    <w:p w14:paraId="221389FE" w14:textId="0377E8F7" w:rsidR="006F1BEF" w:rsidRPr="00F82B5B" w:rsidRDefault="006F1BEF" w:rsidP="00C80BEC">
      <w:pPr>
        <w:pStyle w:val="Zkladntext"/>
        <w:spacing w:after="0" w:line="276" w:lineRule="auto"/>
        <w:ind w:firstLine="708"/>
        <w:jc w:val="both"/>
        <w:rPr>
          <w:rFonts w:ascii="Arial Narrow" w:hAnsi="Arial Narrow" w:cstheme="minorHAnsi"/>
          <w:sz w:val="20"/>
          <w:szCs w:val="22"/>
        </w:rPr>
      </w:pPr>
      <w:r w:rsidRPr="00F82B5B">
        <w:rPr>
          <w:rFonts w:ascii="Arial Narrow" w:hAnsi="Arial Narrow" w:cstheme="minorHAnsi"/>
          <w:sz w:val="20"/>
          <w:szCs w:val="22"/>
        </w:rPr>
        <w:t>STN 92 0241:2011</w:t>
      </w:r>
      <w:r w:rsidRPr="00F82B5B">
        <w:rPr>
          <w:rFonts w:ascii="Arial Narrow" w:hAnsi="Arial Narrow" w:cstheme="minorHAnsi"/>
          <w:sz w:val="20"/>
          <w:szCs w:val="22"/>
        </w:rPr>
        <w:tab/>
      </w:r>
      <w:r w:rsidR="00F82B5B">
        <w:rPr>
          <w:rFonts w:ascii="Arial Narrow" w:hAnsi="Arial Narrow" w:cstheme="minorHAnsi"/>
          <w:sz w:val="20"/>
          <w:szCs w:val="22"/>
        </w:rPr>
        <w:tab/>
      </w:r>
      <w:r w:rsidRPr="00F82B5B">
        <w:rPr>
          <w:rFonts w:ascii="Arial Narrow" w:hAnsi="Arial Narrow" w:cstheme="minorHAnsi"/>
          <w:sz w:val="20"/>
          <w:szCs w:val="22"/>
        </w:rPr>
        <w:t>Požiarna bezpečnosť stavieb. Obsadenie stavieb osobami</w:t>
      </w:r>
    </w:p>
    <w:p w14:paraId="62A19B54" w14:textId="77777777" w:rsidR="006F1BEF" w:rsidRPr="00F82B5B" w:rsidRDefault="006F1BEF" w:rsidP="00C80BEC">
      <w:pPr>
        <w:pStyle w:val="Zkladntext"/>
        <w:spacing w:after="0" w:line="276" w:lineRule="auto"/>
        <w:ind w:firstLine="708"/>
        <w:jc w:val="both"/>
        <w:rPr>
          <w:rFonts w:ascii="Arial Narrow" w:hAnsi="Arial Narrow" w:cstheme="minorHAnsi"/>
          <w:sz w:val="20"/>
          <w:szCs w:val="22"/>
        </w:rPr>
      </w:pPr>
      <w:r w:rsidRPr="00F82B5B">
        <w:rPr>
          <w:rFonts w:ascii="Arial Narrow" w:hAnsi="Arial Narrow" w:cstheme="minorHAnsi"/>
          <w:sz w:val="20"/>
          <w:szCs w:val="22"/>
        </w:rPr>
        <w:t>STN 92 0300</w:t>
      </w:r>
      <w:r w:rsidRPr="00F82B5B">
        <w:rPr>
          <w:rFonts w:ascii="Arial Narrow" w:hAnsi="Arial Narrow" w:cstheme="minorHAnsi"/>
          <w:sz w:val="20"/>
          <w:szCs w:val="22"/>
        </w:rPr>
        <w:tab/>
      </w:r>
      <w:r w:rsidRPr="00F82B5B">
        <w:rPr>
          <w:rFonts w:ascii="Arial Narrow" w:hAnsi="Arial Narrow" w:cstheme="minorHAnsi"/>
          <w:sz w:val="20"/>
          <w:szCs w:val="22"/>
        </w:rPr>
        <w:tab/>
        <w:t>Požiarna bezpečnosť lokálnych spotrebičov a zdrojov tepla</w:t>
      </w:r>
    </w:p>
    <w:p w14:paraId="6CD0DF59" w14:textId="77777777" w:rsidR="006F1BEF" w:rsidRPr="00F82B5B" w:rsidRDefault="006F1BEF" w:rsidP="00C80BEC">
      <w:pPr>
        <w:pStyle w:val="Zkladntext"/>
        <w:spacing w:after="0" w:line="276" w:lineRule="auto"/>
        <w:ind w:firstLine="708"/>
        <w:jc w:val="both"/>
        <w:rPr>
          <w:rFonts w:ascii="Arial Narrow" w:hAnsi="Arial Narrow" w:cstheme="minorHAnsi"/>
          <w:sz w:val="20"/>
          <w:szCs w:val="22"/>
        </w:rPr>
      </w:pPr>
      <w:r w:rsidRPr="00F82B5B">
        <w:rPr>
          <w:rFonts w:ascii="Arial Narrow" w:hAnsi="Arial Narrow" w:cstheme="minorHAnsi"/>
          <w:sz w:val="20"/>
          <w:szCs w:val="22"/>
        </w:rPr>
        <w:t>STN 92 0400</w:t>
      </w:r>
      <w:r w:rsidRPr="00F82B5B">
        <w:rPr>
          <w:rFonts w:ascii="Arial Narrow" w:hAnsi="Arial Narrow" w:cstheme="minorHAnsi"/>
          <w:sz w:val="20"/>
          <w:szCs w:val="22"/>
        </w:rPr>
        <w:tab/>
      </w:r>
      <w:r w:rsidRPr="00F82B5B">
        <w:rPr>
          <w:rFonts w:ascii="Arial Narrow" w:hAnsi="Arial Narrow" w:cstheme="minorHAnsi"/>
          <w:sz w:val="20"/>
          <w:szCs w:val="22"/>
        </w:rPr>
        <w:tab/>
        <w:t>Protipožiarna bezpečnosť stavieb. Zásobovanie vodou na hasenie požiarov</w:t>
      </w:r>
    </w:p>
    <w:p w14:paraId="24154083" w14:textId="77777777" w:rsidR="006F1BEF" w:rsidRPr="00F82B5B" w:rsidRDefault="006F1BEF" w:rsidP="00C80BEC">
      <w:pPr>
        <w:pStyle w:val="Zkladntext"/>
        <w:spacing w:after="0" w:line="276" w:lineRule="auto"/>
        <w:ind w:firstLine="708"/>
        <w:jc w:val="both"/>
        <w:rPr>
          <w:rFonts w:ascii="Arial Narrow" w:hAnsi="Arial Narrow" w:cstheme="minorHAnsi"/>
          <w:sz w:val="20"/>
          <w:szCs w:val="22"/>
        </w:rPr>
      </w:pPr>
      <w:r w:rsidRPr="00F82B5B">
        <w:rPr>
          <w:rFonts w:ascii="Arial Narrow" w:hAnsi="Arial Narrow" w:cstheme="minorHAnsi"/>
          <w:sz w:val="20"/>
          <w:szCs w:val="22"/>
        </w:rPr>
        <w:t xml:space="preserve">STN EN 62 305–1-4 </w:t>
      </w:r>
      <w:r w:rsidRPr="00F82B5B">
        <w:rPr>
          <w:rFonts w:ascii="Arial Narrow" w:hAnsi="Arial Narrow" w:cstheme="minorHAnsi"/>
          <w:sz w:val="20"/>
          <w:szCs w:val="22"/>
        </w:rPr>
        <w:tab/>
        <w:t>Ochrana pred bleskom</w:t>
      </w:r>
    </w:p>
    <w:p w14:paraId="5E5899B6" w14:textId="77777777" w:rsidR="006F1BEF" w:rsidRPr="00F82B5B" w:rsidRDefault="006F1BEF" w:rsidP="00C80BEC">
      <w:pPr>
        <w:pStyle w:val="Zkladntext"/>
        <w:spacing w:line="276" w:lineRule="auto"/>
        <w:jc w:val="both"/>
        <w:rPr>
          <w:rFonts w:ascii="Arial Narrow" w:hAnsi="Arial Narrow" w:cstheme="minorHAnsi"/>
          <w:b/>
          <w:sz w:val="20"/>
          <w:szCs w:val="22"/>
          <w:u w:val="single"/>
        </w:rPr>
      </w:pPr>
    </w:p>
    <w:p w14:paraId="080DB6D5" w14:textId="77777777" w:rsidR="00FB71A8" w:rsidRPr="00A37AD8" w:rsidRDefault="00FB71A8" w:rsidP="00C80BEC">
      <w:pPr>
        <w:pStyle w:val="Zkladntext"/>
        <w:spacing w:line="276" w:lineRule="auto"/>
        <w:jc w:val="both"/>
        <w:rPr>
          <w:rFonts w:ascii="Arial Narrow" w:hAnsi="Arial Narrow" w:cstheme="minorHAnsi"/>
          <w:b/>
          <w:sz w:val="20"/>
          <w:szCs w:val="22"/>
          <w:u w:val="single"/>
        </w:rPr>
      </w:pPr>
    </w:p>
    <w:p w14:paraId="112BC972" w14:textId="77777777" w:rsidR="006F1BEF" w:rsidRPr="00A37AD8" w:rsidRDefault="006F1BEF" w:rsidP="00C80BEC">
      <w:pPr>
        <w:pStyle w:val="Zkladntext"/>
        <w:spacing w:line="276" w:lineRule="auto"/>
        <w:jc w:val="both"/>
        <w:rPr>
          <w:rFonts w:ascii="Arial Narrow" w:hAnsi="Arial Narrow" w:cstheme="minorHAnsi"/>
          <w:b/>
          <w:sz w:val="20"/>
          <w:szCs w:val="22"/>
          <w:u w:val="single"/>
        </w:rPr>
      </w:pPr>
      <w:r w:rsidRPr="00A37AD8">
        <w:rPr>
          <w:rFonts w:ascii="Arial Narrow" w:hAnsi="Arial Narrow" w:cstheme="minorHAnsi"/>
          <w:b/>
          <w:sz w:val="20"/>
          <w:szCs w:val="22"/>
          <w:u w:val="single"/>
        </w:rPr>
        <w:t>UPOZORNENIE !</w:t>
      </w:r>
    </w:p>
    <w:p w14:paraId="57DBD981" w14:textId="77777777" w:rsidR="006F1BEF" w:rsidRPr="00A37AD8" w:rsidRDefault="006F1BEF" w:rsidP="00C80BEC">
      <w:pPr>
        <w:pStyle w:val="Zkladntext"/>
        <w:tabs>
          <w:tab w:val="left" w:pos="360"/>
        </w:tabs>
        <w:spacing w:after="160" w:line="276" w:lineRule="auto"/>
        <w:jc w:val="both"/>
        <w:rPr>
          <w:rFonts w:ascii="Arial Narrow" w:hAnsi="Arial Narrow" w:cstheme="minorHAnsi"/>
          <w:b/>
          <w:sz w:val="20"/>
          <w:szCs w:val="22"/>
        </w:rPr>
      </w:pPr>
      <w:r w:rsidRPr="00A37AD8">
        <w:rPr>
          <w:rFonts w:ascii="Arial Narrow" w:hAnsi="Arial Narrow" w:cstheme="minorHAnsi"/>
          <w:b/>
          <w:sz w:val="20"/>
          <w:szCs w:val="22"/>
        </w:rPr>
        <w:tab/>
      </w:r>
      <w:r w:rsidRPr="00A37AD8">
        <w:rPr>
          <w:rFonts w:ascii="Arial Narrow" w:hAnsi="Arial Narrow" w:cstheme="minorHAnsi"/>
          <w:b/>
          <w:sz w:val="20"/>
          <w:szCs w:val="22"/>
        </w:rPr>
        <w:tab/>
        <w:t>Akékoľvek odchýlky pri realizácii protipožiarnej ochrany a riešením protipožiarnej bezpečnosti stavby a úpravou objektu je nutné prekonzultovať s projektantom riešenia protipožiarnej bezpečnosti stavby !!! Ku kolaudácii je nutné predložiť certifikáty o nemennosti parametrov pre všetky použité stavebné materiály a konštrukčné prvky v zmysle zákona NR SR č. 133/2013 Z. z.</w:t>
      </w:r>
    </w:p>
    <w:p w14:paraId="6E28A5F1" w14:textId="77777777" w:rsidR="00FB71A8" w:rsidRPr="00A37AD8" w:rsidRDefault="00FB71A8" w:rsidP="00C80BEC">
      <w:pPr>
        <w:pStyle w:val="Zkladntext"/>
        <w:tabs>
          <w:tab w:val="left" w:pos="360"/>
        </w:tabs>
        <w:spacing w:after="160" w:line="276" w:lineRule="auto"/>
        <w:jc w:val="both"/>
        <w:rPr>
          <w:rFonts w:ascii="Arial Narrow" w:hAnsi="Arial Narrow" w:cstheme="minorHAnsi"/>
          <w:b/>
          <w:sz w:val="20"/>
          <w:szCs w:val="22"/>
        </w:rPr>
      </w:pPr>
    </w:p>
    <w:p w14:paraId="2872F07C" w14:textId="7FB84F20" w:rsidR="006F1BEF" w:rsidRPr="00A37AD8" w:rsidRDefault="0026498A" w:rsidP="00C80BEC">
      <w:pPr>
        <w:pStyle w:val="Zkladntext"/>
        <w:tabs>
          <w:tab w:val="left" w:pos="360"/>
        </w:tabs>
        <w:spacing w:after="0" w:line="276" w:lineRule="auto"/>
        <w:jc w:val="both"/>
        <w:rPr>
          <w:rFonts w:ascii="Arial Narrow" w:hAnsi="Arial Narrow" w:cstheme="minorHAnsi"/>
          <w:sz w:val="20"/>
          <w:szCs w:val="20"/>
        </w:rPr>
      </w:pPr>
      <w:r>
        <w:rPr>
          <w:rFonts w:ascii="Arial Narrow" w:hAnsi="Arial Narrow" w:cstheme="minorHAnsi"/>
          <w:sz w:val="20"/>
          <w:szCs w:val="20"/>
        </w:rPr>
        <w:lastRenderedPageBreak/>
        <w:t xml:space="preserve">Vlková, </w:t>
      </w:r>
      <w:r w:rsidR="00210F8F">
        <w:rPr>
          <w:rFonts w:ascii="Arial Narrow" w:hAnsi="Arial Narrow" w:cstheme="minorHAnsi"/>
          <w:sz w:val="20"/>
          <w:szCs w:val="20"/>
        </w:rPr>
        <w:t>Marec</w:t>
      </w:r>
      <w:r>
        <w:rPr>
          <w:rFonts w:ascii="Arial Narrow" w:hAnsi="Arial Narrow" w:cstheme="minorHAnsi"/>
          <w:sz w:val="20"/>
          <w:szCs w:val="20"/>
        </w:rPr>
        <w:t xml:space="preserve"> 2022</w:t>
      </w:r>
    </w:p>
    <w:p w14:paraId="5C80881B" w14:textId="77777777" w:rsidR="006F1BEF" w:rsidRPr="00065BD1" w:rsidRDefault="006F1BEF" w:rsidP="00C80BEC">
      <w:pPr>
        <w:pStyle w:val="Zkladntext"/>
        <w:tabs>
          <w:tab w:val="left" w:pos="360"/>
        </w:tabs>
        <w:spacing w:after="0" w:line="276" w:lineRule="auto"/>
        <w:jc w:val="both"/>
      </w:pPr>
      <w:bookmarkStart w:id="2" w:name="_Hlk480916863"/>
      <w:r w:rsidRPr="00A37AD8">
        <w:rPr>
          <w:rFonts w:ascii="Arial Narrow" w:hAnsi="Arial Narrow" w:cstheme="minorHAnsi"/>
          <w:sz w:val="20"/>
          <w:szCs w:val="20"/>
        </w:rPr>
        <w:t>Vypracoval: Ing. Boris Binek, PhD., špecialista požiarnej ochrany</w:t>
      </w:r>
      <w:bookmarkEnd w:id="2"/>
    </w:p>
    <w:p w14:paraId="59478ADB" w14:textId="31DD4DED" w:rsidR="00F82B5B" w:rsidRPr="00F82B5B" w:rsidRDefault="00F82B5B" w:rsidP="00F82B5B">
      <w:pPr>
        <w:rPr>
          <w:rFonts w:asciiTheme="minorHAnsi" w:hAnsiTheme="minorHAnsi" w:cstheme="minorHAnsi"/>
        </w:rPr>
      </w:pPr>
    </w:p>
    <w:sectPr w:rsidR="00F82B5B" w:rsidRPr="00F82B5B" w:rsidSect="006F1BEF">
      <w:headerReference w:type="default" r:id="rId10"/>
      <w:footerReference w:type="even" r:id="rId11"/>
      <w:footerReference w:type="default" r:id="rId12"/>
      <w:pgSz w:w="11906" w:h="16838"/>
      <w:pgMar w:top="851" w:right="1417" w:bottom="993" w:left="1417" w:header="708" w:footer="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C9F29A" w14:textId="77777777" w:rsidR="00133C42" w:rsidRDefault="00133C42" w:rsidP="009778A8">
      <w:pPr>
        <w:spacing w:after="0" w:line="240" w:lineRule="auto"/>
      </w:pPr>
      <w:r>
        <w:separator/>
      </w:r>
    </w:p>
  </w:endnote>
  <w:endnote w:type="continuationSeparator" w:id="0">
    <w:p w14:paraId="292B3751" w14:textId="77777777" w:rsidR="00133C42" w:rsidRDefault="00133C42" w:rsidP="009778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ifeRo1TEEReg">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6044531"/>
      <w:docPartObj>
        <w:docPartGallery w:val="Page Numbers (Bottom of Page)"/>
        <w:docPartUnique/>
      </w:docPartObj>
    </w:sdtPr>
    <w:sdtEndPr/>
    <w:sdtContent>
      <w:p w14:paraId="143E019A" w14:textId="77777777" w:rsidR="00B129C1" w:rsidRDefault="00B129C1">
        <w:pPr>
          <w:pStyle w:val="Pta"/>
          <w:jc w:val="center"/>
        </w:pPr>
        <w:r>
          <w:fldChar w:fldCharType="begin"/>
        </w:r>
        <w:r>
          <w:instrText>PAGE   \* MERGEFORMAT</w:instrText>
        </w:r>
        <w:r>
          <w:fldChar w:fldCharType="separate"/>
        </w:r>
        <w:r w:rsidR="0088008B">
          <w:rPr>
            <w:noProof/>
          </w:rPr>
          <w:t>4</w:t>
        </w:r>
        <w:r>
          <w:fldChar w:fldCharType="end"/>
        </w:r>
      </w:p>
    </w:sdtContent>
  </w:sdt>
  <w:p w14:paraId="29D03309" w14:textId="77777777" w:rsidR="00B129C1" w:rsidRDefault="00B129C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9258598"/>
      <w:docPartObj>
        <w:docPartGallery w:val="Page Numbers (Bottom of Page)"/>
        <w:docPartUnique/>
      </w:docPartObj>
    </w:sdtPr>
    <w:sdtEndPr/>
    <w:sdtContent>
      <w:sdt>
        <w:sdtPr>
          <w:id w:val="-433593999"/>
          <w:docPartObj>
            <w:docPartGallery w:val="Page Numbers (Bottom of Page)"/>
            <w:docPartUnique/>
          </w:docPartObj>
        </w:sdtPr>
        <w:sdtEndPr/>
        <w:sdtContent>
          <w:p w14:paraId="1D5B8A5A" w14:textId="013D2F21" w:rsidR="006F1BEF" w:rsidRDefault="006F1BEF" w:rsidP="006F1BEF">
            <w:pPr>
              <w:pStyle w:val="Pta"/>
              <w:jc w:val="right"/>
            </w:pPr>
            <w:r>
              <w:fldChar w:fldCharType="begin"/>
            </w:r>
            <w:r>
              <w:instrText>PAGE   \* MERGEFORMAT</w:instrText>
            </w:r>
            <w:r>
              <w:fldChar w:fldCharType="separate"/>
            </w:r>
            <w:r w:rsidR="00D9193B">
              <w:rPr>
                <w:noProof/>
              </w:rPr>
              <w:t>6</w:t>
            </w:r>
            <w:r>
              <w:fldChar w:fldCharType="end"/>
            </w:r>
            <w:r>
              <w:t>/</w:t>
            </w:r>
            <w:r w:rsidR="00F82B5B">
              <w:t>5</w:t>
            </w:r>
          </w:p>
          <w:p w14:paraId="5BD7693F" w14:textId="6EFB77ED" w:rsidR="00B129C1" w:rsidRDefault="006F1BEF" w:rsidP="006F1BEF">
            <w:pPr>
              <w:pStyle w:val="Pta"/>
              <w:pBdr>
                <w:top w:val="single" w:sz="4" w:space="1" w:color="auto"/>
              </w:pBdr>
              <w:jc w:val="center"/>
            </w:pPr>
            <w:r>
              <w:rPr>
                <w:caps/>
                <w:color w:val="7F7F7F"/>
                <w:sz w:val="16"/>
              </w:rPr>
              <w:t>DOKUMENTáCIA PRE</w:t>
            </w:r>
            <w:r w:rsidR="0026498A">
              <w:rPr>
                <w:caps/>
                <w:color w:val="7F7F7F"/>
                <w:sz w:val="16"/>
              </w:rPr>
              <w:t xml:space="preserve"> STAVEBNÉ POVOLENIE</w:t>
            </w:r>
            <w:r>
              <w:rPr>
                <w:caps/>
                <w:color w:val="7F7F7F"/>
                <w:sz w:val="16"/>
              </w:rPr>
              <w:t xml:space="preserve"> – ProtipOŽIARNA beZpečnosť sTavby; ING. BORIS BINEK, PHD., špo </w:t>
            </w:r>
          </w:p>
        </w:sdtContent>
      </w:sdt>
    </w:sdtContent>
  </w:sdt>
  <w:p w14:paraId="71ED8BD2" w14:textId="77777777" w:rsidR="00B129C1" w:rsidRDefault="00B129C1">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EC66E7" w14:textId="77777777" w:rsidR="00133C42" w:rsidRDefault="00133C42" w:rsidP="009778A8">
      <w:pPr>
        <w:spacing w:after="0" w:line="240" w:lineRule="auto"/>
      </w:pPr>
      <w:r>
        <w:separator/>
      </w:r>
    </w:p>
  </w:footnote>
  <w:footnote w:type="continuationSeparator" w:id="0">
    <w:p w14:paraId="206DFF8F" w14:textId="77777777" w:rsidR="00133C42" w:rsidRDefault="00133C42" w:rsidP="009778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43D39" w14:textId="77777777" w:rsidR="00B129C1" w:rsidRDefault="00B129C1" w:rsidP="00C74C3F">
    <w:pPr>
      <w:pStyle w:val="Hlavika"/>
      <w:tabs>
        <w:tab w:val="left" w:pos="8910"/>
      </w:tabs>
      <w:spacing w:after="0"/>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87CC5"/>
    <w:multiLevelType w:val="multilevel"/>
    <w:tmpl w:val="758CDB2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2C57381"/>
    <w:multiLevelType w:val="hybridMultilevel"/>
    <w:tmpl w:val="CFC66FC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C7B033A"/>
    <w:multiLevelType w:val="hybridMultilevel"/>
    <w:tmpl w:val="C85E4E6A"/>
    <w:lvl w:ilvl="0" w:tplc="3D00A0FE">
      <w:start w:val="29"/>
      <w:numFmt w:val="bullet"/>
      <w:lvlText w:val="-"/>
      <w:lvlJc w:val="left"/>
      <w:pPr>
        <w:ind w:left="1080" w:hanging="360"/>
      </w:pPr>
      <w:rPr>
        <w:rFonts w:ascii="Arial" w:eastAsia="Times New Roman"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
    <w:nsid w:val="0E690644"/>
    <w:multiLevelType w:val="multilevel"/>
    <w:tmpl w:val="9B08106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i/>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E917101"/>
    <w:multiLevelType w:val="hybridMultilevel"/>
    <w:tmpl w:val="F7F8908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14C4E6A"/>
    <w:multiLevelType w:val="hybridMultilevel"/>
    <w:tmpl w:val="DB283E04"/>
    <w:lvl w:ilvl="0" w:tplc="041B0001">
      <w:start w:val="1"/>
      <w:numFmt w:val="bullet"/>
      <w:lvlText w:val=""/>
      <w:lvlJc w:val="left"/>
      <w:pPr>
        <w:ind w:left="2484" w:hanging="360"/>
      </w:pPr>
      <w:rPr>
        <w:rFonts w:ascii="Symbol" w:hAnsi="Symbol" w:hint="default"/>
      </w:rPr>
    </w:lvl>
    <w:lvl w:ilvl="1" w:tplc="041B0003">
      <w:start w:val="1"/>
      <w:numFmt w:val="bullet"/>
      <w:lvlText w:val="o"/>
      <w:lvlJc w:val="left"/>
      <w:pPr>
        <w:ind w:left="3204" w:hanging="360"/>
      </w:pPr>
      <w:rPr>
        <w:rFonts w:ascii="Courier New" w:hAnsi="Courier New" w:cs="Courier New" w:hint="default"/>
      </w:rPr>
    </w:lvl>
    <w:lvl w:ilvl="2" w:tplc="041B0005">
      <w:start w:val="1"/>
      <w:numFmt w:val="bullet"/>
      <w:lvlText w:val=""/>
      <w:lvlJc w:val="left"/>
      <w:pPr>
        <w:ind w:left="3924" w:hanging="360"/>
      </w:pPr>
      <w:rPr>
        <w:rFonts w:ascii="Wingdings" w:hAnsi="Wingdings" w:cs="Wingdings" w:hint="default"/>
      </w:rPr>
    </w:lvl>
    <w:lvl w:ilvl="3" w:tplc="041B0001">
      <w:start w:val="1"/>
      <w:numFmt w:val="bullet"/>
      <w:lvlText w:val=""/>
      <w:lvlJc w:val="left"/>
      <w:pPr>
        <w:ind w:left="4644" w:hanging="360"/>
      </w:pPr>
      <w:rPr>
        <w:rFonts w:ascii="Symbol" w:hAnsi="Symbol" w:cs="Symbol" w:hint="default"/>
      </w:rPr>
    </w:lvl>
    <w:lvl w:ilvl="4" w:tplc="041B0003">
      <w:start w:val="1"/>
      <w:numFmt w:val="bullet"/>
      <w:lvlText w:val="o"/>
      <w:lvlJc w:val="left"/>
      <w:pPr>
        <w:ind w:left="5364" w:hanging="360"/>
      </w:pPr>
      <w:rPr>
        <w:rFonts w:ascii="Courier New" w:hAnsi="Courier New" w:cs="Courier New" w:hint="default"/>
      </w:rPr>
    </w:lvl>
    <w:lvl w:ilvl="5" w:tplc="041B0005">
      <w:start w:val="1"/>
      <w:numFmt w:val="bullet"/>
      <w:lvlText w:val=""/>
      <w:lvlJc w:val="left"/>
      <w:pPr>
        <w:ind w:left="6084" w:hanging="360"/>
      </w:pPr>
      <w:rPr>
        <w:rFonts w:ascii="Wingdings" w:hAnsi="Wingdings" w:cs="Wingdings" w:hint="default"/>
      </w:rPr>
    </w:lvl>
    <w:lvl w:ilvl="6" w:tplc="041B0001">
      <w:start w:val="1"/>
      <w:numFmt w:val="bullet"/>
      <w:lvlText w:val=""/>
      <w:lvlJc w:val="left"/>
      <w:pPr>
        <w:ind w:left="6804" w:hanging="360"/>
      </w:pPr>
      <w:rPr>
        <w:rFonts w:ascii="Symbol" w:hAnsi="Symbol" w:cs="Symbol" w:hint="default"/>
      </w:rPr>
    </w:lvl>
    <w:lvl w:ilvl="7" w:tplc="041B0003">
      <w:start w:val="1"/>
      <w:numFmt w:val="bullet"/>
      <w:lvlText w:val="o"/>
      <w:lvlJc w:val="left"/>
      <w:pPr>
        <w:ind w:left="7524" w:hanging="360"/>
      </w:pPr>
      <w:rPr>
        <w:rFonts w:ascii="Courier New" w:hAnsi="Courier New" w:cs="Courier New" w:hint="default"/>
      </w:rPr>
    </w:lvl>
    <w:lvl w:ilvl="8" w:tplc="041B0005">
      <w:start w:val="1"/>
      <w:numFmt w:val="bullet"/>
      <w:lvlText w:val=""/>
      <w:lvlJc w:val="left"/>
      <w:pPr>
        <w:ind w:left="8244" w:hanging="360"/>
      </w:pPr>
      <w:rPr>
        <w:rFonts w:ascii="Wingdings" w:hAnsi="Wingdings" w:cs="Wingdings" w:hint="default"/>
      </w:rPr>
    </w:lvl>
  </w:abstractNum>
  <w:abstractNum w:abstractNumId="6">
    <w:nsid w:val="15516B3E"/>
    <w:multiLevelType w:val="hybridMultilevel"/>
    <w:tmpl w:val="1044783A"/>
    <w:lvl w:ilvl="0" w:tplc="A55E6FD0">
      <w:start w:val="1"/>
      <w:numFmt w:val="decimal"/>
      <w:lvlText w:val="%1."/>
      <w:lvlJc w:val="left"/>
      <w:pPr>
        <w:ind w:left="720" w:hanging="360"/>
      </w:pPr>
      <w:rPr>
        <w:rFonts w:hint="default"/>
        <w:b/>
        <w:bC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nsid w:val="24214124"/>
    <w:multiLevelType w:val="hybridMultilevel"/>
    <w:tmpl w:val="83E8F910"/>
    <w:lvl w:ilvl="0" w:tplc="B96006EA">
      <w:start w:val="30"/>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262646FE"/>
    <w:multiLevelType w:val="hybridMultilevel"/>
    <w:tmpl w:val="674C50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30C06A25"/>
    <w:multiLevelType w:val="hybridMultilevel"/>
    <w:tmpl w:val="791A7078"/>
    <w:lvl w:ilvl="0" w:tplc="D666A77A">
      <w:start w:val="3"/>
      <w:numFmt w:val="bullet"/>
      <w:lvlText w:val="-"/>
      <w:lvlJc w:val="left"/>
      <w:pPr>
        <w:ind w:left="1080" w:hanging="360"/>
      </w:pPr>
      <w:rPr>
        <w:rFonts w:ascii="Calibri" w:eastAsia="Calibr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0">
    <w:nsid w:val="31AE1F74"/>
    <w:multiLevelType w:val="hybridMultilevel"/>
    <w:tmpl w:val="CC205DC6"/>
    <w:lvl w:ilvl="0" w:tplc="F4A28856">
      <w:start w:val="2"/>
      <w:numFmt w:val="decimal"/>
      <w:lvlText w:val="%1.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3D385283"/>
    <w:multiLevelType w:val="hybridMultilevel"/>
    <w:tmpl w:val="F37446F2"/>
    <w:lvl w:ilvl="0" w:tplc="80A24EEE">
      <w:start w:val="1"/>
      <w:numFmt w:val="bullet"/>
      <w:lvlText w:val=""/>
      <w:lvlJc w:val="left"/>
      <w:pPr>
        <w:ind w:left="2136" w:hanging="360"/>
      </w:pPr>
      <w:rPr>
        <w:rFonts w:ascii="Symbol" w:hAnsi="Symbol" w:hint="default"/>
      </w:rPr>
    </w:lvl>
    <w:lvl w:ilvl="1" w:tplc="041B0019" w:tentative="1">
      <w:start w:val="1"/>
      <w:numFmt w:val="bullet"/>
      <w:lvlText w:val="o"/>
      <w:lvlJc w:val="left"/>
      <w:pPr>
        <w:ind w:left="2856" w:hanging="360"/>
      </w:pPr>
      <w:rPr>
        <w:rFonts w:ascii="Courier New" w:hAnsi="Courier New" w:cs="Courier New" w:hint="default"/>
      </w:rPr>
    </w:lvl>
    <w:lvl w:ilvl="2" w:tplc="041B001B" w:tentative="1">
      <w:start w:val="1"/>
      <w:numFmt w:val="bullet"/>
      <w:lvlText w:val=""/>
      <w:lvlJc w:val="left"/>
      <w:pPr>
        <w:ind w:left="3576" w:hanging="360"/>
      </w:pPr>
      <w:rPr>
        <w:rFonts w:ascii="Wingdings" w:hAnsi="Wingdings" w:hint="default"/>
      </w:rPr>
    </w:lvl>
    <w:lvl w:ilvl="3" w:tplc="041B000F" w:tentative="1">
      <w:start w:val="1"/>
      <w:numFmt w:val="bullet"/>
      <w:lvlText w:val=""/>
      <w:lvlJc w:val="left"/>
      <w:pPr>
        <w:ind w:left="4296" w:hanging="360"/>
      </w:pPr>
      <w:rPr>
        <w:rFonts w:ascii="Symbol" w:hAnsi="Symbol" w:hint="default"/>
      </w:rPr>
    </w:lvl>
    <w:lvl w:ilvl="4" w:tplc="041B0019" w:tentative="1">
      <w:start w:val="1"/>
      <w:numFmt w:val="bullet"/>
      <w:lvlText w:val="o"/>
      <w:lvlJc w:val="left"/>
      <w:pPr>
        <w:ind w:left="5016" w:hanging="360"/>
      </w:pPr>
      <w:rPr>
        <w:rFonts w:ascii="Courier New" w:hAnsi="Courier New" w:cs="Courier New" w:hint="default"/>
      </w:rPr>
    </w:lvl>
    <w:lvl w:ilvl="5" w:tplc="041B001B" w:tentative="1">
      <w:start w:val="1"/>
      <w:numFmt w:val="bullet"/>
      <w:lvlText w:val=""/>
      <w:lvlJc w:val="left"/>
      <w:pPr>
        <w:ind w:left="5736" w:hanging="360"/>
      </w:pPr>
      <w:rPr>
        <w:rFonts w:ascii="Wingdings" w:hAnsi="Wingdings" w:hint="default"/>
      </w:rPr>
    </w:lvl>
    <w:lvl w:ilvl="6" w:tplc="041B000F" w:tentative="1">
      <w:start w:val="1"/>
      <w:numFmt w:val="bullet"/>
      <w:lvlText w:val=""/>
      <w:lvlJc w:val="left"/>
      <w:pPr>
        <w:ind w:left="6456" w:hanging="360"/>
      </w:pPr>
      <w:rPr>
        <w:rFonts w:ascii="Symbol" w:hAnsi="Symbol" w:hint="default"/>
      </w:rPr>
    </w:lvl>
    <w:lvl w:ilvl="7" w:tplc="041B0019" w:tentative="1">
      <w:start w:val="1"/>
      <w:numFmt w:val="bullet"/>
      <w:lvlText w:val="o"/>
      <w:lvlJc w:val="left"/>
      <w:pPr>
        <w:ind w:left="7176" w:hanging="360"/>
      </w:pPr>
      <w:rPr>
        <w:rFonts w:ascii="Courier New" w:hAnsi="Courier New" w:cs="Courier New" w:hint="default"/>
      </w:rPr>
    </w:lvl>
    <w:lvl w:ilvl="8" w:tplc="041B001B" w:tentative="1">
      <w:start w:val="1"/>
      <w:numFmt w:val="bullet"/>
      <w:lvlText w:val=""/>
      <w:lvlJc w:val="left"/>
      <w:pPr>
        <w:ind w:left="7896" w:hanging="360"/>
      </w:pPr>
      <w:rPr>
        <w:rFonts w:ascii="Wingdings" w:hAnsi="Wingdings" w:hint="default"/>
      </w:rPr>
    </w:lvl>
  </w:abstractNum>
  <w:abstractNum w:abstractNumId="12">
    <w:nsid w:val="42544194"/>
    <w:multiLevelType w:val="hybridMultilevel"/>
    <w:tmpl w:val="6CF6A972"/>
    <w:lvl w:ilvl="0" w:tplc="A55E6FD0">
      <w:start w:val="1"/>
      <w:numFmt w:val="decimal"/>
      <w:lvlText w:val="%1."/>
      <w:lvlJc w:val="left"/>
      <w:pPr>
        <w:ind w:left="720" w:hanging="360"/>
      </w:pPr>
      <w:rPr>
        <w:rFonts w:hint="default"/>
        <w:b/>
        <w:bC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nsid w:val="44E36BB1"/>
    <w:multiLevelType w:val="hybridMultilevel"/>
    <w:tmpl w:val="F2427232"/>
    <w:lvl w:ilvl="0" w:tplc="041B0011">
      <w:start w:val="1"/>
      <w:numFmt w:val="decimal"/>
      <w:lvlText w:val="%1)"/>
      <w:lvlJc w:val="left"/>
      <w:pPr>
        <w:ind w:left="720" w:hanging="360"/>
      </w:pPr>
      <w:rPr>
        <w:rFonts w:hint="default"/>
        <w:sz w:val="20"/>
        <w:szCs w:val="2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nsid w:val="4B247B40"/>
    <w:multiLevelType w:val="hybridMultilevel"/>
    <w:tmpl w:val="50A07A28"/>
    <w:lvl w:ilvl="0" w:tplc="041B0011">
      <w:start w:val="1"/>
      <w:numFmt w:val="decimal"/>
      <w:lvlText w:val="%1)"/>
      <w:lvlJc w:val="left"/>
      <w:pPr>
        <w:ind w:left="720" w:hanging="360"/>
      </w:pPr>
      <w:rPr>
        <w:rFonts w:hint="default"/>
        <w:sz w:val="20"/>
        <w:szCs w:val="2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5">
    <w:nsid w:val="4DF1525C"/>
    <w:multiLevelType w:val="hybridMultilevel"/>
    <w:tmpl w:val="5192B65E"/>
    <w:lvl w:ilvl="0" w:tplc="DD6C15C0">
      <w:numFmt w:val="bullet"/>
      <w:lvlText w:val="•"/>
      <w:lvlJc w:val="left"/>
      <w:pPr>
        <w:ind w:left="1068" w:hanging="708"/>
      </w:pPr>
      <w:rPr>
        <w:rFonts w:ascii="Arial Narrow" w:eastAsia="Calibri" w:hAnsi="Arial Narrow" w:cstheme="minorHAnsi"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cs="Wingdings" w:hint="default"/>
      </w:rPr>
    </w:lvl>
    <w:lvl w:ilvl="3" w:tplc="041B0001" w:tentative="1">
      <w:start w:val="1"/>
      <w:numFmt w:val="bullet"/>
      <w:lvlText w:val=""/>
      <w:lvlJc w:val="left"/>
      <w:pPr>
        <w:ind w:left="2880" w:hanging="360"/>
      </w:pPr>
      <w:rPr>
        <w:rFonts w:ascii="Symbol" w:hAnsi="Symbol" w:cs="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cs="Wingdings" w:hint="default"/>
      </w:rPr>
    </w:lvl>
    <w:lvl w:ilvl="6" w:tplc="041B0001" w:tentative="1">
      <w:start w:val="1"/>
      <w:numFmt w:val="bullet"/>
      <w:lvlText w:val=""/>
      <w:lvlJc w:val="left"/>
      <w:pPr>
        <w:ind w:left="5040" w:hanging="360"/>
      </w:pPr>
      <w:rPr>
        <w:rFonts w:ascii="Symbol" w:hAnsi="Symbol" w:cs="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cs="Wingdings" w:hint="default"/>
      </w:rPr>
    </w:lvl>
  </w:abstractNum>
  <w:abstractNum w:abstractNumId="16">
    <w:nsid w:val="50383531"/>
    <w:multiLevelType w:val="hybridMultilevel"/>
    <w:tmpl w:val="99AE1F5A"/>
    <w:lvl w:ilvl="0" w:tplc="CF9C4488">
      <w:numFmt w:val="bullet"/>
      <w:lvlText w:val="-"/>
      <w:lvlJc w:val="left"/>
      <w:pPr>
        <w:ind w:left="1429" w:hanging="360"/>
      </w:pPr>
      <w:rPr>
        <w:rFonts w:ascii="LifeRo1TEEReg" w:eastAsia="LifeRo1TEEReg" w:hAnsi="LifeRo1TEEReg" w:cs="LifeRo1TEEReg"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7">
    <w:nsid w:val="5772086A"/>
    <w:multiLevelType w:val="hybridMultilevel"/>
    <w:tmpl w:val="DA30EB88"/>
    <w:lvl w:ilvl="0" w:tplc="3D00A0FE">
      <w:start w:val="29"/>
      <w:numFmt w:val="bullet"/>
      <w:lvlText w:val="-"/>
      <w:lvlJc w:val="left"/>
      <w:pPr>
        <w:ind w:left="1080" w:hanging="360"/>
      </w:pPr>
      <w:rPr>
        <w:rFonts w:ascii="Arial" w:eastAsia="Times New Roman"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8">
    <w:nsid w:val="5B0A6A2D"/>
    <w:multiLevelType w:val="hybridMultilevel"/>
    <w:tmpl w:val="145ED2FE"/>
    <w:lvl w:ilvl="0" w:tplc="041B0001">
      <w:start w:val="1"/>
      <w:numFmt w:val="bullet"/>
      <w:lvlText w:val=""/>
      <w:lvlJc w:val="left"/>
      <w:pPr>
        <w:ind w:left="3168" w:hanging="360"/>
      </w:pPr>
      <w:rPr>
        <w:rFonts w:ascii="Symbol" w:hAnsi="Symbol" w:hint="default"/>
      </w:rPr>
    </w:lvl>
    <w:lvl w:ilvl="1" w:tplc="041B0003" w:tentative="1">
      <w:start w:val="1"/>
      <w:numFmt w:val="bullet"/>
      <w:lvlText w:val="o"/>
      <w:lvlJc w:val="left"/>
      <w:pPr>
        <w:ind w:left="3888" w:hanging="360"/>
      </w:pPr>
      <w:rPr>
        <w:rFonts w:ascii="Courier New" w:hAnsi="Courier New" w:cs="Courier New" w:hint="default"/>
      </w:rPr>
    </w:lvl>
    <w:lvl w:ilvl="2" w:tplc="041B0005" w:tentative="1">
      <w:start w:val="1"/>
      <w:numFmt w:val="bullet"/>
      <w:lvlText w:val=""/>
      <w:lvlJc w:val="left"/>
      <w:pPr>
        <w:ind w:left="4608" w:hanging="360"/>
      </w:pPr>
      <w:rPr>
        <w:rFonts w:ascii="Wingdings" w:hAnsi="Wingdings" w:hint="default"/>
      </w:rPr>
    </w:lvl>
    <w:lvl w:ilvl="3" w:tplc="041B0001" w:tentative="1">
      <w:start w:val="1"/>
      <w:numFmt w:val="bullet"/>
      <w:lvlText w:val=""/>
      <w:lvlJc w:val="left"/>
      <w:pPr>
        <w:ind w:left="5328" w:hanging="360"/>
      </w:pPr>
      <w:rPr>
        <w:rFonts w:ascii="Symbol" w:hAnsi="Symbol" w:hint="default"/>
      </w:rPr>
    </w:lvl>
    <w:lvl w:ilvl="4" w:tplc="041B0003" w:tentative="1">
      <w:start w:val="1"/>
      <w:numFmt w:val="bullet"/>
      <w:lvlText w:val="o"/>
      <w:lvlJc w:val="left"/>
      <w:pPr>
        <w:ind w:left="6048" w:hanging="360"/>
      </w:pPr>
      <w:rPr>
        <w:rFonts w:ascii="Courier New" w:hAnsi="Courier New" w:cs="Courier New" w:hint="default"/>
      </w:rPr>
    </w:lvl>
    <w:lvl w:ilvl="5" w:tplc="041B0005" w:tentative="1">
      <w:start w:val="1"/>
      <w:numFmt w:val="bullet"/>
      <w:lvlText w:val=""/>
      <w:lvlJc w:val="left"/>
      <w:pPr>
        <w:ind w:left="6768" w:hanging="360"/>
      </w:pPr>
      <w:rPr>
        <w:rFonts w:ascii="Wingdings" w:hAnsi="Wingdings" w:hint="default"/>
      </w:rPr>
    </w:lvl>
    <w:lvl w:ilvl="6" w:tplc="041B0001" w:tentative="1">
      <w:start w:val="1"/>
      <w:numFmt w:val="bullet"/>
      <w:lvlText w:val=""/>
      <w:lvlJc w:val="left"/>
      <w:pPr>
        <w:ind w:left="7488" w:hanging="360"/>
      </w:pPr>
      <w:rPr>
        <w:rFonts w:ascii="Symbol" w:hAnsi="Symbol" w:hint="default"/>
      </w:rPr>
    </w:lvl>
    <w:lvl w:ilvl="7" w:tplc="041B0003" w:tentative="1">
      <w:start w:val="1"/>
      <w:numFmt w:val="bullet"/>
      <w:lvlText w:val="o"/>
      <w:lvlJc w:val="left"/>
      <w:pPr>
        <w:ind w:left="8208" w:hanging="360"/>
      </w:pPr>
      <w:rPr>
        <w:rFonts w:ascii="Courier New" w:hAnsi="Courier New" w:cs="Courier New" w:hint="default"/>
      </w:rPr>
    </w:lvl>
    <w:lvl w:ilvl="8" w:tplc="041B0005" w:tentative="1">
      <w:start w:val="1"/>
      <w:numFmt w:val="bullet"/>
      <w:lvlText w:val=""/>
      <w:lvlJc w:val="left"/>
      <w:pPr>
        <w:ind w:left="8928" w:hanging="360"/>
      </w:pPr>
      <w:rPr>
        <w:rFonts w:ascii="Wingdings" w:hAnsi="Wingdings" w:hint="default"/>
      </w:rPr>
    </w:lvl>
  </w:abstractNum>
  <w:abstractNum w:abstractNumId="19">
    <w:nsid w:val="5BB86C61"/>
    <w:multiLevelType w:val="hybridMultilevel"/>
    <w:tmpl w:val="1B807B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5BE7078D"/>
    <w:multiLevelType w:val="hybridMultilevel"/>
    <w:tmpl w:val="0C3A904E"/>
    <w:lvl w:ilvl="0" w:tplc="A55E6FD0">
      <w:start w:val="1"/>
      <w:numFmt w:val="decimal"/>
      <w:lvlText w:val="%1."/>
      <w:lvlJc w:val="left"/>
      <w:pPr>
        <w:ind w:left="720" w:hanging="360"/>
      </w:pPr>
      <w:rPr>
        <w:rFonts w:hint="default"/>
        <w:b/>
        <w:bC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nsid w:val="5BEE0F22"/>
    <w:multiLevelType w:val="hybridMultilevel"/>
    <w:tmpl w:val="1B807B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607251AF"/>
    <w:multiLevelType w:val="hybridMultilevel"/>
    <w:tmpl w:val="674C50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6B2A66F3"/>
    <w:multiLevelType w:val="hybridMultilevel"/>
    <w:tmpl w:val="A9443776"/>
    <w:lvl w:ilvl="0" w:tplc="8B9EC756">
      <w:start w:val="2"/>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7BFE0D54"/>
    <w:multiLevelType w:val="hybridMultilevel"/>
    <w:tmpl w:val="CDF0EA9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6"/>
  </w:num>
  <w:num w:numId="2">
    <w:abstractNumId w:val="5"/>
  </w:num>
  <w:num w:numId="3">
    <w:abstractNumId w:val="14"/>
  </w:num>
  <w:num w:numId="4">
    <w:abstractNumId w:val="1"/>
  </w:num>
  <w:num w:numId="5">
    <w:abstractNumId w:val="3"/>
  </w:num>
  <w:num w:numId="6">
    <w:abstractNumId w:val="20"/>
  </w:num>
  <w:num w:numId="7">
    <w:abstractNumId w:val="13"/>
  </w:num>
  <w:num w:numId="8">
    <w:abstractNumId w:val="12"/>
  </w:num>
  <w:num w:numId="9">
    <w:abstractNumId w:val="24"/>
  </w:num>
  <w:num w:numId="10">
    <w:abstractNumId w:val="4"/>
  </w:num>
  <w:num w:numId="11">
    <w:abstractNumId w:val="7"/>
  </w:num>
  <w:num w:numId="12">
    <w:abstractNumId w:val="2"/>
  </w:num>
  <w:num w:numId="13">
    <w:abstractNumId w:val="17"/>
  </w:num>
  <w:num w:numId="14">
    <w:abstractNumId w:val="8"/>
  </w:num>
  <w:num w:numId="15">
    <w:abstractNumId w:val="9"/>
  </w:num>
  <w:num w:numId="16">
    <w:abstractNumId w:val="22"/>
  </w:num>
  <w:num w:numId="17">
    <w:abstractNumId w:val="21"/>
  </w:num>
  <w:num w:numId="18">
    <w:abstractNumId w:val="19"/>
  </w:num>
  <w:num w:numId="19">
    <w:abstractNumId w:val="23"/>
  </w:num>
  <w:num w:numId="20">
    <w:abstractNumId w:val="10"/>
  </w:num>
  <w:num w:numId="21">
    <w:abstractNumId w:val="0"/>
  </w:num>
  <w:num w:numId="22">
    <w:abstractNumId w:val="16"/>
  </w:num>
  <w:num w:numId="23">
    <w:abstractNumId w:val="11"/>
  </w:num>
  <w:num w:numId="24">
    <w:abstractNumId w:val="18"/>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A20"/>
    <w:rsid w:val="000069FE"/>
    <w:rsid w:val="0001309E"/>
    <w:rsid w:val="000136B7"/>
    <w:rsid w:val="000154CB"/>
    <w:rsid w:val="00015B6C"/>
    <w:rsid w:val="0001700A"/>
    <w:rsid w:val="00017361"/>
    <w:rsid w:val="0002089A"/>
    <w:rsid w:val="00024D1C"/>
    <w:rsid w:val="0002517D"/>
    <w:rsid w:val="00025372"/>
    <w:rsid w:val="00026A36"/>
    <w:rsid w:val="00031CD2"/>
    <w:rsid w:val="00032D40"/>
    <w:rsid w:val="00034D5D"/>
    <w:rsid w:val="00034D90"/>
    <w:rsid w:val="00042315"/>
    <w:rsid w:val="00042CB9"/>
    <w:rsid w:val="000460E0"/>
    <w:rsid w:val="000506B6"/>
    <w:rsid w:val="00050BAE"/>
    <w:rsid w:val="00050D12"/>
    <w:rsid w:val="00054444"/>
    <w:rsid w:val="0005581B"/>
    <w:rsid w:val="00055C3C"/>
    <w:rsid w:val="00061160"/>
    <w:rsid w:val="00061447"/>
    <w:rsid w:val="00064817"/>
    <w:rsid w:val="0007065E"/>
    <w:rsid w:val="000738EC"/>
    <w:rsid w:val="00074554"/>
    <w:rsid w:val="000753C5"/>
    <w:rsid w:val="000770CF"/>
    <w:rsid w:val="00080497"/>
    <w:rsid w:val="00080769"/>
    <w:rsid w:val="00080DD0"/>
    <w:rsid w:val="00081D8D"/>
    <w:rsid w:val="000822D7"/>
    <w:rsid w:val="00082CA9"/>
    <w:rsid w:val="00090D67"/>
    <w:rsid w:val="0009481C"/>
    <w:rsid w:val="00095C83"/>
    <w:rsid w:val="00096B9D"/>
    <w:rsid w:val="00097F06"/>
    <w:rsid w:val="000A2173"/>
    <w:rsid w:val="000A2DFD"/>
    <w:rsid w:val="000A58D1"/>
    <w:rsid w:val="000A5E47"/>
    <w:rsid w:val="000A5F3D"/>
    <w:rsid w:val="000A68BC"/>
    <w:rsid w:val="000A7CB2"/>
    <w:rsid w:val="000B031A"/>
    <w:rsid w:val="000B20BA"/>
    <w:rsid w:val="000B302D"/>
    <w:rsid w:val="000B4720"/>
    <w:rsid w:val="000B6837"/>
    <w:rsid w:val="000B7E45"/>
    <w:rsid w:val="000C0DEB"/>
    <w:rsid w:val="000C317B"/>
    <w:rsid w:val="000C52B8"/>
    <w:rsid w:val="000C56B4"/>
    <w:rsid w:val="000D2370"/>
    <w:rsid w:val="000D50EB"/>
    <w:rsid w:val="000D6716"/>
    <w:rsid w:val="000D7867"/>
    <w:rsid w:val="000E6022"/>
    <w:rsid w:val="000E6ADE"/>
    <w:rsid w:val="000E70B5"/>
    <w:rsid w:val="000F1DB3"/>
    <w:rsid w:val="000F25BF"/>
    <w:rsid w:val="000F7683"/>
    <w:rsid w:val="001041B7"/>
    <w:rsid w:val="00105232"/>
    <w:rsid w:val="00112A1B"/>
    <w:rsid w:val="001135FF"/>
    <w:rsid w:val="00113848"/>
    <w:rsid w:val="00115A16"/>
    <w:rsid w:val="00115F50"/>
    <w:rsid w:val="0011792C"/>
    <w:rsid w:val="0012005B"/>
    <w:rsid w:val="00121281"/>
    <w:rsid w:val="001220C3"/>
    <w:rsid w:val="00122382"/>
    <w:rsid w:val="00125092"/>
    <w:rsid w:val="001254A8"/>
    <w:rsid w:val="00126A35"/>
    <w:rsid w:val="00126CA8"/>
    <w:rsid w:val="00127239"/>
    <w:rsid w:val="00127860"/>
    <w:rsid w:val="00127C69"/>
    <w:rsid w:val="0013057E"/>
    <w:rsid w:val="00132AD1"/>
    <w:rsid w:val="00133C42"/>
    <w:rsid w:val="00134FEA"/>
    <w:rsid w:val="00135BF5"/>
    <w:rsid w:val="00137110"/>
    <w:rsid w:val="00140F8D"/>
    <w:rsid w:val="00142B34"/>
    <w:rsid w:val="00143C04"/>
    <w:rsid w:val="00147FFE"/>
    <w:rsid w:val="00150CFF"/>
    <w:rsid w:val="001536AF"/>
    <w:rsid w:val="00155725"/>
    <w:rsid w:val="00156005"/>
    <w:rsid w:val="00157AD2"/>
    <w:rsid w:val="00162C02"/>
    <w:rsid w:val="00170977"/>
    <w:rsid w:val="00176ACD"/>
    <w:rsid w:val="00177A3C"/>
    <w:rsid w:val="00177BEF"/>
    <w:rsid w:val="00187BB2"/>
    <w:rsid w:val="00190594"/>
    <w:rsid w:val="001911B6"/>
    <w:rsid w:val="001916A3"/>
    <w:rsid w:val="00191D02"/>
    <w:rsid w:val="001946D4"/>
    <w:rsid w:val="001A07C1"/>
    <w:rsid w:val="001A37EC"/>
    <w:rsid w:val="001A588E"/>
    <w:rsid w:val="001A6A78"/>
    <w:rsid w:val="001A6E17"/>
    <w:rsid w:val="001A78E1"/>
    <w:rsid w:val="001B0D23"/>
    <w:rsid w:val="001B2502"/>
    <w:rsid w:val="001B3C50"/>
    <w:rsid w:val="001B6EB3"/>
    <w:rsid w:val="001B7A20"/>
    <w:rsid w:val="001C3E46"/>
    <w:rsid w:val="001C5B55"/>
    <w:rsid w:val="001D20EA"/>
    <w:rsid w:val="001E6949"/>
    <w:rsid w:val="001F1F23"/>
    <w:rsid w:val="001F3759"/>
    <w:rsid w:val="001F4054"/>
    <w:rsid w:val="001F4918"/>
    <w:rsid w:val="001F7E37"/>
    <w:rsid w:val="00204DF0"/>
    <w:rsid w:val="00205AF0"/>
    <w:rsid w:val="0020725E"/>
    <w:rsid w:val="00210F8F"/>
    <w:rsid w:val="00211126"/>
    <w:rsid w:val="0022291C"/>
    <w:rsid w:val="00222F5B"/>
    <w:rsid w:val="00224B30"/>
    <w:rsid w:val="00224FBE"/>
    <w:rsid w:val="00225E4F"/>
    <w:rsid w:val="00225FDC"/>
    <w:rsid w:val="002278D6"/>
    <w:rsid w:val="0023369F"/>
    <w:rsid w:val="00240BED"/>
    <w:rsid w:val="002417B3"/>
    <w:rsid w:val="00241A7E"/>
    <w:rsid w:val="00242231"/>
    <w:rsid w:val="00243480"/>
    <w:rsid w:val="00250EE6"/>
    <w:rsid w:val="0025339C"/>
    <w:rsid w:val="002555B7"/>
    <w:rsid w:val="00255BA7"/>
    <w:rsid w:val="00257B96"/>
    <w:rsid w:val="0026020A"/>
    <w:rsid w:val="00262042"/>
    <w:rsid w:val="002639E3"/>
    <w:rsid w:val="0026426A"/>
    <w:rsid w:val="0026498A"/>
    <w:rsid w:val="00266542"/>
    <w:rsid w:val="00266860"/>
    <w:rsid w:val="00267D16"/>
    <w:rsid w:val="00272AB5"/>
    <w:rsid w:val="00276DAF"/>
    <w:rsid w:val="002803CE"/>
    <w:rsid w:val="00280B58"/>
    <w:rsid w:val="00282062"/>
    <w:rsid w:val="002838D5"/>
    <w:rsid w:val="002909A0"/>
    <w:rsid w:val="00291ACF"/>
    <w:rsid w:val="0029298D"/>
    <w:rsid w:val="0029391F"/>
    <w:rsid w:val="002A23E6"/>
    <w:rsid w:val="002A4790"/>
    <w:rsid w:val="002B0C39"/>
    <w:rsid w:val="002B2556"/>
    <w:rsid w:val="002B4031"/>
    <w:rsid w:val="002B44CA"/>
    <w:rsid w:val="002B45A2"/>
    <w:rsid w:val="002B465A"/>
    <w:rsid w:val="002B4906"/>
    <w:rsid w:val="002B4C4C"/>
    <w:rsid w:val="002B7BD3"/>
    <w:rsid w:val="002C2202"/>
    <w:rsid w:val="002C36DA"/>
    <w:rsid w:val="002C4C78"/>
    <w:rsid w:val="002C6CEA"/>
    <w:rsid w:val="002C75BC"/>
    <w:rsid w:val="002D3039"/>
    <w:rsid w:val="002D32F4"/>
    <w:rsid w:val="002D35EE"/>
    <w:rsid w:val="002D3AE1"/>
    <w:rsid w:val="002E0E86"/>
    <w:rsid w:val="002E1071"/>
    <w:rsid w:val="002E35CA"/>
    <w:rsid w:val="002E73B6"/>
    <w:rsid w:val="002F3DF4"/>
    <w:rsid w:val="002F450F"/>
    <w:rsid w:val="003027F5"/>
    <w:rsid w:val="00306179"/>
    <w:rsid w:val="00310F82"/>
    <w:rsid w:val="00311483"/>
    <w:rsid w:val="0031254D"/>
    <w:rsid w:val="00312EAB"/>
    <w:rsid w:val="00314D19"/>
    <w:rsid w:val="00316AFE"/>
    <w:rsid w:val="00316BF1"/>
    <w:rsid w:val="00317BFC"/>
    <w:rsid w:val="00321412"/>
    <w:rsid w:val="003216B1"/>
    <w:rsid w:val="003218FD"/>
    <w:rsid w:val="00322E57"/>
    <w:rsid w:val="00322E84"/>
    <w:rsid w:val="003257DB"/>
    <w:rsid w:val="003258B2"/>
    <w:rsid w:val="00326B75"/>
    <w:rsid w:val="003316B2"/>
    <w:rsid w:val="00331CA0"/>
    <w:rsid w:val="00333B56"/>
    <w:rsid w:val="00333F91"/>
    <w:rsid w:val="00336F60"/>
    <w:rsid w:val="00342091"/>
    <w:rsid w:val="00342A04"/>
    <w:rsid w:val="003503CC"/>
    <w:rsid w:val="003541AD"/>
    <w:rsid w:val="00354D50"/>
    <w:rsid w:val="0035675F"/>
    <w:rsid w:val="00356B0B"/>
    <w:rsid w:val="00360B5D"/>
    <w:rsid w:val="00361200"/>
    <w:rsid w:val="003634F8"/>
    <w:rsid w:val="00364796"/>
    <w:rsid w:val="00365F19"/>
    <w:rsid w:val="003664C2"/>
    <w:rsid w:val="00370EC8"/>
    <w:rsid w:val="0037227F"/>
    <w:rsid w:val="0037445A"/>
    <w:rsid w:val="00375443"/>
    <w:rsid w:val="00375E81"/>
    <w:rsid w:val="0037658B"/>
    <w:rsid w:val="003776F9"/>
    <w:rsid w:val="003805D3"/>
    <w:rsid w:val="00381F32"/>
    <w:rsid w:val="00381FB0"/>
    <w:rsid w:val="00382EF6"/>
    <w:rsid w:val="003855EE"/>
    <w:rsid w:val="00390BE2"/>
    <w:rsid w:val="00394F97"/>
    <w:rsid w:val="00394FC8"/>
    <w:rsid w:val="003A0194"/>
    <w:rsid w:val="003A1A83"/>
    <w:rsid w:val="003A2969"/>
    <w:rsid w:val="003A3369"/>
    <w:rsid w:val="003A38D6"/>
    <w:rsid w:val="003B0DF0"/>
    <w:rsid w:val="003B2D7B"/>
    <w:rsid w:val="003B69DD"/>
    <w:rsid w:val="003B6C7C"/>
    <w:rsid w:val="003C003A"/>
    <w:rsid w:val="003C09EA"/>
    <w:rsid w:val="003C1D06"/>
    <w:rsid w:val="003C460B"/>
    <w:rsid w:val="003C4792"/>
    <w:rsid w:val="003C5096"/>
    <w:rsid w:val="003C5D0E"/>
    <w:rsid w:val="003C7195"/>
    <w:rsid w:val="003C7662"/>
    <w:rsid w:val="003D011E"/>
    <w:rsid w:val="003D08E9"/>
    <w:rsid w:val="003D18DA"/>
    <w:rsid w:val="003D20E6"/>
    <w:rsid w:val="003D2AAD"/>
    <w:rsid w:val="003D51B5"/>
    <w:rsid w:val="003D6F14"/>
    <w:rsid w:val="003E3435"/>
    <w:rsid w:val="003E497C"/>
    <w:rsid w:val="003F1562"/>
    <w:rsid w:val="003F2C5B"/>
    <w:rsid w:val="003F7362"/>
    <w:rsid w:val="00400E17"/>
    <w:rsid w:val="00402D54"/>
    <w:rsid w:val="00407A4D"/>
    <w:rsid w:val="0041129C"/>
    <w:rsid w:val="00412DF7"/>
    <w:rsid w:val="00414F62"/>
    <w:rsid w:val="004206D9"/>
    <w:rsid w:val="00420792"/>
    <w:rsid w:val="00420821"/>
    <w:rsid w:val="00420FC8"/>
    <w:rsid w:val="0042177E"/>
    <w:rsid w:val="0042529A"/>
    <w:rsid w:val="0042563D"/>
    <w:rsid w:val="004262AD"/>
    <w:rsid w:val="004265B6"/>
    <w:rsid w:val="004376F3"/>
    <w:rsid w:val="00441B55"/>
    <w:rsid w:val="004428C0"/>
    <w:rsid w:val="004446B2"/>
    <w:rsid w:val="00446CB3"/>
    <w:rsid w:val="00447D6F"/>
    <w:rsid w:val="00450D7F"/>
    <w:rsid w:val="004520D1"/>
    <w:rsid w:val="00453AC4"/>
    <w:rsid w:val="004543A7"/>
    <w:rsid w:val="00454BA9"/>
    <w:rsid w:val="0045636B"/>
    <w:rsid w:val="0045723D"/>
    <w:rsid w:val="0046186E"/>
    <w:rsid w:val="00462B85"/>
    <w:rsid w:val="00464704"/>
    <w:rsid w:val="00466326"/>
    <w:rsid w:val="00467B51"/>
    <w:rsid w:val="0047023C"/>
    <w:rsid w:val="004714A7"/>
    <w:rsid w:val="004763B9"/>
    <w:rsid w:val="004801CA"/>
    <w:rsid w:val="004829A4"/>
    <w:rsid w:val="00483C71"/>
    <w:rsid w:val="004876FF"/>
    <w:rsid w:val="00491248"/>
    <w:rsid w:val="00494575"/>
    <w:rsid w:val="004945C1"/>
    <w:rsid w:val="00494ADE"/>
    <w:rsid w:val="0049651C"/>
    <w:rsid w:val="0049772B"/>
    <w:rsid w:val="00497F29"/>
    <w:rsid w:val="004A0F7D"/>
    <w:rsid w:val="004A5115"/>
    <w:rsid w:val="004A549E"/>
    <w:rsid w:val="004B0997"/>
    <w:rsid w:val="004B3C53"/>
    <w:rsid w:val="004B76D3"/>
    <w:rsid w:val="004C0D39"/>
    <w:rsid w:val="004C7556"/>
    <w:rsid w:val="004C7FC4"/>
    <w:rsid w:val="004D0375"/>
    <w:rsid w:val="004D0676"/>
    <w:rsid w:val="004D2A9D"/>
    <w:rsid w:val="004D3853"/>
    <w:rsid w:val="004D48AB"/>
    <w:rsid w:val="004D6E2C"/>
    <w:rsid w:val="004E1CD7"/>
    <w:rsid w:val="004E728E"/>
    <w:rsid w:val="004E7A1C"/>
    <w:rsid w:val="004F1DB9"/>
    <w:rsid w:val="004F5FB2"/>
    <w:rsid w:val="004F64BB"/>
    <w:rsid w:val="005102CD"/>
    <w:rsid w:val="00513252"/>
    <w:rsid w:val="00517D3A"/>
    <w:rsid w:val="00520192"/>
    <w:rsid w:val="0052019C"/>
    <w:rsid w:val="0052046E"/>
    <w:rsid w:val="005249D3"/>
    <w:rsid w:val="00524BB3"/>
    <w:rsid w:val="00525EDA"/>
    <w:rsid w:val="005264C8"/>
    <w:rsid w:val="00527F0F"/>
    <w:rsid w:val="005357CF"/>
    <w:rsid w:val="005366AB"/>
    <w:rsid w:val="00537249"/>
    <w:rsid w:val="00542BBA"/>
    <w:rsid w:val="005440F8"/>
    <w:rsid w:val="00550038"/>
    <w:rsid w:val="00557C93"/>
    <w:rsid w:val="00557D4E"/>
    <w:rsid w:val="005617AC"/>
    <w:rsid w:val="00562226"/>
    <w:rsid w:val="0056421E"/>
    <w:rsid w:val="00564AB2"/>
    <w:rsid w:val="00564FDD"/>
    <w:rsid w:val="00567E6D"/>
    <w:rsid w:val="005751C6"/>
    <w:rsid w:val="00577F23"/>
    <w:rsid w:val="00581B4C"/>
    <w:rsid w:val="00584034"/>
    <w:rsid w:val="00590167"/>
    <w:rsid w:val="00592D69"/>
    <w:rsid w:val="00592F8E"/>
    <w:rsid w:val="005A1475"/>
    <w:rsid w:val="005A15B4"/>
    <w:rsid w:val="005A2208"/>
    <w:rsid w:val="005A7C59"/>
    <w:rsid w:val="005A7D93"/>
    <w:rsid w:val="005B09FA"/>
    <w:rsid w:val="005B59C5"/>
    <w:rsid w:val="005B61FF"/>
    <w:rsid w:val="005C27D3"/>
    <w:rsid w:val="005C3173"/>
    <w:rsid w:val="005C452A"/>
    <w:rsid w:val="005C6066"/>
    <w:rsid w:val="005D0272"/>
    <w:rsid w:val="005D130A"/>
    <w:rsid w:val="005D2A42"/>
    <w:rsid w:val="005D49F7"/>
    <w:rsid w:val="005D4CBC"/>
    <w:rsid w:val="005D62B4"/>
    <w:rsid w:val="005E05E7"/>
    <w:rsid w:val="005E3FA4"/>
    <w:rsid w:val="005E6056"/>
    <w:rsid w:val="005E6118"/>
    <w:rsid w:val="005E72B6"/>
    <w:rsid w:val="005F030F"/>
    <w:rsid w:val="005F1038"/>
    <w:rsid w:val="005F26D3"/>
    <w:rsid w:val="005F494A"/>
    <w:rsid w:val="006005E3"/>
    <w:rsid w:val="00603BFE"/>
    <w:rsid w:val="00607BCF"/>
    <w:rsid w:val="00613EDB"/>
    <w:rsid w:val="00620261"/>
    <w:rsid w:val="006204D5"/>
    <w:rsid w:val="00620E62"/>
    <w:rsid w:val="00621BE1"/>
    <w:rsid w:val="00622F7D"/>
    <w:rsid w:val="006238BB"/>
    <w:rsid w:val="00623F94"/>
    <w:rsid w:val="00624C3D"/>
    <w:rsid w:val="006327D7"/>
    <w:rsid w:val="0063504F"/>
    <w:rsid w:val="00635544"/>
    <w:rsid w:val="0063674A"/>
    <w:rsid w:val="00640E11"/>
    <w:rsid w:val="0064168F"/>
    <w:rsid w:val="00642218"/>
    <w:rsid w:val="006424B4"/>
    <w:rsid w:val="00644DEE"/>
    <w:rsid w:val="00647907"/>
    <w:rsid w:val="00647AEC"/>
    <w:rsid w:val="00652DBF"/>
    <w:rsid w:val="006538EF"/>
    <w:rsid w:val="006575B2"/>
    <w:rsid w:val="00662193"/>
    <w:rsid w:val="00663712"/>
    <w:rsid w:val="00663BD7"/>
    <w:rsid w:val="00665F34"/>
    <w:rsid w:val="006663B1"/>
    <w:rsid w:val="006706D8"/>
    <w:rsid w:val="006744B4"/>
    <w:rsid w:val="006750D9"/>
    <w:rsid w:val="006754F0"/>
    <w:rsid w:val="00677900"/>
    <w:rsid w:val="00677AE4"/>
    <w:rsid w:val="00681009"/>
    <w:rsid w:val="006832BC"/>
    <w:rsid w:val="00683417"/>
    <w:rsid w:val="00684F18"/>
    <w:rsid w:val="0069159B"/>
    <w:rsid w:val="00692307"/>
    <w:rsid w:val="00692FD5"/>
    <w:rsid w:val="00696AAF"/>
    <w:rsid w:val="006A0BF2"/>
    <w:rsid w:val="006A1626"/>
    <w:rsid w:val="006A4173"/>
    <w:rsid w:val="006A5C2C"/>
    <w:rsid w:val="006A65FC"/>
    <w:rsid w:val="006A69B8"/>
    <w:rsid w:val="006A6DCA"/>
    <w:rsid w:val="006B10CB"/>
    <w:rsid w:val="006B13D7"/>
    <w:rsid w:val="006B66BC"/>
    <w:rsid w:val="006B719C"/>
    <w:rsid w:val="006C0342"/>
    <w:rsid w:val="006C080B"/>
    <w:rsid w:val="006C101F"/>
    <w:rsid w:val="006C4B86"/>
    <w:rsid w:val="006C65DA"/>
    <w:rsid w:val="006D0AFA"/>
    <w:rsid w:val="006D4BC6"/>
    <w:rsid w:val="006E21F8"/>
    <w:rsid w:val="006E240B"/>
    <w:rsid w:val="006E5741"/>
    <w:rsid w:val="006E6B65"/>
    <w:rsid w:val="006F0B5B"/>
    <w:rsid w:val="006F0C90"/>
    <w:rsid w:val="006F10F4"/>
    <w:rsid w:val="006F1BEF"/>
    <w:rsid w:val="006F530E"/>
    <w:rsid w:val="006F67F1"/>
    <w:rsid w:val="006F7DE8"/>
    <w:rsid w:val="006F7F4C"/>
    <w:rsid w:val="00700683"/>
    <w:rsid w:val="00700E28"/>
    <w:rsid w:val="00702661"/>
    <w:rsid w:val="00704989"/>
    <w:rsid w:val="00704FF8"/>
    <w:rsid w:val="00705406"/>
    <w:rsid w:val="00707722"/>
    <w:rsid w:val="00713700"/>
    <w:rsid w:val="00721C29"/>
    <w:rsid w:val="0072475A"/>
    <w:rsid w:val="00726FE1"/>
    <w:rsid w:val="00727093"/>
    <w:rsid w:val="00735EDE"/>
    <w:rsid w:val="0073651B"/>
    <w:rsid w:val="0073792E"/>
    <w:rsid w:val="00737B50"/>
    <w:rsid w:val="00740DBE"/>
    <w:rsid w:val="0074228A"/>
    <w:rsid w:val="007442A4"/>
    <w:rsid w:val="00744B20"/>
    <w:rsid w:val="007456C1"/>
    <w:rsid w:val="00745C8D"/>
    <w:rsid w:val="0074626D"/>
    <w:rsid w:val="0074640B"/>
    <w:rsid w:val="00750BCD"/>
    <w:rsid w:val="00751324"/>
    <w:rsid w:val="00752E00"/>
    <w:rsid w:val="00753D92"/>
    <w:rsid w:val="007552A1"/>
    <w:rsid w:val="00755DB3"/>
    <w:rsid w:val="00757148"/>
    <w:rsid w:val="0075787B"/>
    <w:rsid w:val="007600CE"/>
    <w:rsid w:val="00763624"/>
    <w:rsid w:val="00763A46"/>
    <w:rsid w:val="00774509"/>
    <w:rsid w:val="00775042"/>
    <w:rsid w:val="00775AFD"/>
    <w:rsid w:val="0077654B"/>
    <w:rsid w:val="0078213C"/>
    <w:rsid w:val="0078340C"/>
    <w:rsid w:val="0078453B"/>
    <w:rsid w:val="0078551C"/>
    <w:rsid w:val="00785ED1"/>
    <w:rsid w:val="0078617F"/>
    <w:rsid w:val="00786BB7"/>
    <w:rsid w:val="00786FE5"/>
    <w:rsid w:val="00787A6E"/>
    <w:rsid w:val="00790DD1"/>
    <w:rsid w:val="007933B3"/>
    <w:rsid w:val="007935F7"/>
    <w:rsid w:val="007A4608"/>
    <w:rsid w:val="007B1964"/>
    <w:rsid w:val="007B1C63"/>
    <w:rsid w:val="007B4D77"/>
    <w:rsid w:val="007B7365"/>
    <w:rsid w:val="007B7701"/>
    <w:rsid w:val="007C0E01"/>
    <w:rsid w:val="007C0F1E"/>
    <w:rsid w:val="007C159C"/>
    <w:rsid w:val="007C59BF"/>
    <w:rsid w:val="007C7827"/>
    <w:rsid w:val="007C7843"/>
    <w:rsid w:val="007D2150"/>
    <w:rsid w:val="007D2A3E"/>
    <w:rsid w:val="007D2C8B"/>
    <w:rsid w:val="007D34B8"/>
    <w:rsid w:val="007D6F1F"/>
    <w:rsid w:val="007D7862"/>
    <w:rsid w:val="007D7D80"/>
    <w:rsid w:val="007E15FD"/>
    <w:rsid w:val="007E4434"/>
    <w:rsid w:val="007E6398"/>
    <w:rsid w:val="007E7F65"/>
    <w:rsid w:val="007F2790"/>
    <w:rsid w:val="007F42E9"/>
    <w:rsid w:val="007F46D5"/>
    <w:rsid w:val="007F5621"/>
    <w:rsid w:val="008005A2"/>
    <w:rsid w:val="00803C7A"/>
    <w:rsid w:val="00804E66"/>
    <w:rsid w:val="00812183"/>
    <w:rsid w:val="00812656"/>
    <w:rsid w:val="00812A5C"/>
    <w:rsid w:val="00820AED"/>
    <w:rsid w:val="00822EEB"/>
    <w:rsid w:val="00823A52"/>
    <w:rsid w:val="0083182F"/>
    <w:rsid w:val="008332A4"/>
    <w:rsid w:val="008352DB"/>
    <w:rsid w:val="00835A55"/>
    <w:rsid w:val="00835F16"/>
    <w:rsid w:val="00841381"/>
    <w:rsid w:val="00843811"/>
    <w:rsid w:val="00844BD0"/>
    <w:rsid w:val="00846D1D"/>
    <w:rsid w:val="00846DB5"/>
    <w:rsid w:val="0085289B"/>
    <w:rsid w:val="0085357A"/>
    <w:rsid w:val="00854317"/>
    <w:rsid w:val="00857F54"/>
    <w:rsid w:val="00860B94"/>
    <w:rsid w:val="008623D2"/>
    <w:rsid w:val="00862937"/>
    <w:rsid w:val="00863AD0"/>
    <w:rsid w:val="00864B13"/>
    <w:rsid w:val="00864F4B"/>
    <w:rsid w:val="00866E67"/>
    <w:rsid w:val="00867D18"/>
    <w:rsid w:val="008707E7"/>
    <w:rsid w:val="008711F0"/>
    <w:rsid w:val="00873F58"/>
    <w:rsid w:val="00875AE2"/>
    <w:rsid w:val="0087649D"/>
    <w:rsid w:val="0088008B"/>
    <w:rsid w:val="008860B2"/>
    <w:rsid w:val="0088632E"/>
    <w:rsid w:val="0089365E"/>
    <w:rsid w:val="00893ACC"/>
    <w:rsid w:val="00895110"/>
    <w:rsid w:val="008A0210"/>
    <w:rsid w:val="008A0564"/>
    <w:rsid w:val="008A0894"/>
    <w:rsid w:val="008A1FE7"/>
    <w:rsid w:val="008A35EE"/>
    <w:rsid w:val="008A5E73"/>
    <w:rsid w:val="008B009F"/>
    <w:rsid w:val="008B01B4"/>
    <w:rsid w:val="008B12A4"/>
    <w:rsid w:val="008B2062"/>
    <w:rsid w:val="008B2D32"/>
    <w:rsid w:val="008B32D1"/>
    <w:rsid w:val="008B4378"/>
    <w:rsid w:val="008B5824"/>
    <w:rsid w:val="008C3D63"/>
    <w:rsid w:val="008C7203"/>
    <w:rsid w:val="008C72AB"/>
    <w:rsid w:val="008C7B77"/>
    <w:rsid w:val="008D2322"/>
    <w:rsid w:val="008D38A8"/>
    <w:rsid w:val="008D439B"/>
    <w:rsid w:val="008D4900"/>
    <w:rsid w:val="008D7A8C"/>
    <w:rsid w:val="008D7EDC"/>
    <w:rsid w:val="008E03E7"/>
    <w:rsid w:val="008E0FD6"/>
    <w:rsid w:val="008E189A"/>
    <w:rsid w:val="008E24BF"/>
    <w:rsid w:val="008E2E34"/>
    <w:rsid w:val="008E4AB0"/>
    <w:rsid w:val="008E5800"/>
    <w:rsid w:val="008E74F0"/>
    <w:rsid w:val="008F4DB3"/>
    <w:rsid w:val="00901DBA"/>
    <w:rsid w:val="0090228F"/>
    <w:rsid w:val="00911764"/>
    <w:rsid w:val="00911F48"/>
    <w:rsid w:val="0091223E"/>
    <w:rsid w:val="00912A87"/>
    <w:rsid w:val="00912F46"/>
    <w:rsid w:val="00913BA4"/>
    <w:rsid w:val="00916474"/>
    <w:rsid w:val="00922C94"/>
    <w:rsid w:val="009256D7"/>
    <w:rsid w:val="00930EC4"/>
    <w:rsid w:val="0093397E"/>
    <w:rsid w:val="009339CA"/>
    <w:rsid w:val="00936482"/>
    <w:rsid w:val="00937C6B"/>
    <w:rsid w:val="00942544"/>
    <w:rsid w:val="00944A4E"/>
    <w:rsid w:val="0095046A"/>
    <w:rsid w:val="00950631"/>
    <w:rsid w:val="009507D6"/>
    <w:rsid w:val="00950887"/>
    <w:rsid w:val="00950936"/>
    <w:rsid w:val="00951673"/>
    <w:rsid w:val="009517D8"/>
    <w:rsid w:val="00951D57"/>
    <w:rsid w:val="00952013"/>
    <w:rsid w:val="00952853"/>
    <w:rsid w:val="00953D42"/>
    <w:rsid w:val="009553F3"/>
    <w:rsid w:val="00960277"/>
    <w:rsid w:val="00960355"/>
    <w:rsid w:val="00960F9F"/>
    <w:rsid w:val="00961A12"/>
    <w:rsid w:val="00964FB2"/>
    <w:rsid w:val="00966EFB"/>
    <w:rsid w:val="0097068A"/>
    <w:rsid w:val="00971BAE"/>
    <w:rsid w:val="00975095"/>
    <w:rsid w:val="009762BF"/>
    <w:rsid w:val="009778A8"/>
    <w:rsid w:val="00981A5B"/>
    <w:rsid w:val="00984B31"/>
    <w:rsid w:val="00986632"/>
    <w:rsid w:val="00987F67"/>
    <w:rsid w:val="00987F81"/>
    <w:rsid w:val="0099124E"/>
    <w:rsid w:val="00996823"/>
    <w:rsid w:val="00996BD5"/>
    <w:rsid w:val="00997FF8"/>
    <w:rsid w:val="009A1922"/>
    <w:rsid w:val="009A1B2B"/>
    <w:rsid w:val="009A38D8"/>
    <w:rsid w:val="009A4168"/>
    <w:rsid w:val="009A57E5"/>
    <w:rsid w:val="009A60CF"/>
    <w:rsid w:val="009A63A8"/>
    <w:rsid w:val="009A7A7C"/>
    <w:rsid w:val="009B000C"/>
    <w:rsid w:val="009B034D"/>
    <w:rsid w:val="009B5FCF"/>
    <w:rsid w:val="009C2AE5"/>
    <w:rsid w:val="009C2BDA"/>
    <w:rsid w:val="009C34E4"/>
    <w:rsid w:val="009C3EB5"/>
    <w:rsid w:val="009C5074"/>
    <w:rsid w:val="009C6EC3"/>
    <w:rsid w:val="009C73E7"/>
    <w:rsid w:val="009C7FDF"/>
    <w:rsid w:val="009D645C"/>
    <w:rsid w:val="009D6517"/>
    <w:rsid w:val="009E0209"/>
    <w:rsid w:val="009E1A5A"/>
    <w:rsid w:val="009E3D46"/>
    <w:rsid w:val="009E4039"/>
    <w:rsid w:val="009E4E1F"/>
    <w:rsid w:val="009E5B56"/>
    <w:rsid w:val="009F4309"/>
    <w:rsid w:val="009F4C39"/>
    <w:rsid w:val="009F5D73"/>
    <w:rsid w:val="009F7698"/>
    <w:rsid w:val="009F78EA"/>
    <w:rsid w:val="00A010D6"/>
    <w:rsid w:val="00A06D17"/>
    <w:rsid w:val="00A104C6"/>
    <w:rsid w:val="00A1112B"/>
    <w:rsid w:val="00A13094"/>
    <w:rsid w:val="00A1346D"/>
    <w:rsid w:val="00A13AC3"/>
    <w:rsid w:val="00A14577"/>
    <w:rsid w:val="00A14839"/>
    <w:rsid w:val="00A172DB"/>
    <w:rsid w:val="00A202CF"/>
    <w:rsid w:val="00A2668A"/>
    <w:rsid w:val="00A26BC2"/>
    <w:rsid w:val="00A34824"/>
    <w:rsid w:val="00A406A7"/>
    <w:rsid w:val="00A441FC"/>
    <w:rsid w:val="00A46E1D"/>
    <w:rsid w:val="00A47B77"/>
    <w:rsid w:val="00A51B67"/>
    <w:rsid w:val="00A55A15"/>
    <w:rsid w:val="00A5737B"/>
    <w:rsid w:val="00A65671"/>
    <w:rsid w:val="00A65F91"/>
    <w:rsid w:val="00A65FE3"/>
    <w:rsid w:val="00A7150F"/>
    <w:rsid w:val="00A728A2"/>
    <w:rsid w:val="00A750C2"/>
    <w:rsid w:val="00A807DE"/>
    <w:rsid w:val="00A80F27"/>
    <w:rsid w:val="00A81CE3"/>
    <w:rsid w:val="00A848AD"/>
    <w:rsid w:val="00A84D05"/>
    <w:rsid w:val="00A84DE1"/>
    <w:rsid w:val="00A85E45"/>
    <w:rsid w:val="00A90D54"/>
    <w:rsid w:val="00A943EB"/>
    <w:rsid w:val="00A95BCC"/>
    <w:rsid w:val="00A978F0"/>
    <w:rsid w:val="00AA2225"/>
    <w:rsid w:val="00AA2D08"/>
    <w:rsid w:val="00AA40BA"/>
    <w:rsid w:val="00AA7F15"/>
    <w:rsid w:val="00AB2820"/>
    <w:rsid w:val="00AB3E73"/>
    <w:rsid w:val="00AC1246"/>
    <w:rsid w:val="00AC1B3C"/>
    <w:rsid w:val="00AC6153"/>
    <w:rsid w:val="00AC7466"/>
    <w:rsid w:val="00AD007F"/>
    <w:rsid w:val="00AD01AA"/>
    <w:rsid w:val="00AD277E"/>
    <w:rsid w:val="00AD288E"/>
    <w:rsid w:val="00AD591E"/>
    <w:rsid w:val="00AD5CE1"/>
    <w:rsid w:val="00AE0A0C"/>
    <w:rsid w:val="00AE1E1D"/>
    <w:rsid w:val="00AE3D32"/>
    <w:rsid w:val="00AE6191"/>
    <w:rsid w:val="00AF0D88"/>
    <w:rsid w:val="00AF0FBD"/>
    <w:rsid w:val="00AF3BD2"/>
    <w:rsid w:val="00AF49BF"/>
    <w:rsid w:val="00AF57B9"/>
    <w:rsid w:val="00AF74E2"/>
    <w:rsid w:val="00B10BA0"/>
    <w:rsid w:val="00B111FC"/>
    <w:rsid w:val="00B129C1"/>
    <w:rsid w:val="00B13970"/>
    <w:rsid w:val="00B1399E"/>
    <w:rsid w:val="00B16F1B"/>
    <w:rsid w:val="00B21B7A"/>
    <w:rsid w:val="00B22041"/>
    <w:rsid w:val="00B2224E"/>
    <w:rsid w:val="00B27109"/>
    <w:rsid w:val="00B32298"/>
    <w:rsid w:val="00B323A4"/>
    <w:rsid w:val="00B32756"/>
    <w:rsid w:val="00B33A20"/>
    <w:rsid w:val="00B340D9"/>
    <w:rsid w:val="00B3486B"/>
    <w:rsid w:val="00B35B4B"/>
    <w:rsid w:val="00B45C8F"/>
    <w:rsid w:val="00B510A2"/>
    <w:rsid w:val="00B53884"/>
    <w:rsid w:val="00B56B02"/>
    <w:rsid w:val="00B577EE"/>
    <w:rsid w:val="00B6128A"/>
    <w:rsid w:val="00B628B2"/>
    <w:rsid w:val="00B63A27"/>
    <w:rsid w:val="00B63F0E"/>
    <w:rsid w:val="00B64BB2"/>
    <w:rsid w:val="00B65662"/>
    <w:rsid w:val="00B6621A"/>
    <w:rsid w:val="00B67626"/>
    <w:rsid w:val="00B708B4"/>
    <w:rsid w:val="00B728F5"/>
    <w:rsid w:val="00B72F3F"/>
    <w:rsid w:val="00B761A1"/>
    <w:rsid w:val="00B8562B"/>
    <w:rsid w:val="00B968EC"/>
    <w:rsid w:val="00BA1148"/>
    <w:rsid w:val="00BA2EC5"/>
    <w:rsid w:val="00BA52F8"/>
    <w:rsid w:val="00BB4046"/>
    <w:rsid w:val="00BB44C4"/>
    <w:rsid w:val="00BB57C1"/>
    <w:rsid w:val="00BC2C72"/>
    <w:rsid w:val="00BC3F91"/>
    <w:rsid w:val="00BC4BF8"/>
    <w:rsid w:val="00BC5C7E"/>
    <w:rsid w:val="00BD090C"/>
    <w:rsid w:val="00BD10AB"/>
    <w:rsid w:val="00BE20F1"/>
    <w:rsid w:val="00BE36FF"/>
    <w:rsid w:val="00BE3B95"/>
    <w:rsid w:val="00BE4131"/>
    <w:rsid w:val="00BE617E"/>
    <w:rsid w:val="00BE61B9"/>
    <w:rsid w:val="00BE7187"/>
    <w:rsid w:val="00BF4BB6"/>
    <w:rsid w:val="00BF6EF5"/>
    <w:rsid w:val="00BF7F2B"/>
    <w:rsid w:val="00C01817"/>
    <w:rsid w:val="00C0197E"/>
    <w:rsid w:val="00C01F79"/>
    <w:rsid w:val="00C05CF1"/>
    <w:rsid w:val="00C05EE2"/>
    <w:rsid w:val="00C10E3A"/>
    <w:rsid w:val="00C13E38"/>
    <w:rsid w:val="00C15053"/>
    <w:rsid w:val="00C1541F"/>
    <w:rsid w:val="00C17843"/>
    <w:rsid w:val="00C20334"/>
    <w:rsid w:val="00C20C6C"/>
    <w:rsid w:val="00C22F6C"/>
    <w:rsid w:val="00C23C16"/>
    <w:rsid w:val="00C26C89"/>
    <w:rsid w:val="00C2763A"/>
    <w:rsid w:val="00C3676F"/>
    <w:rsid w:val="00C368FE"/>
    <w:rsid w:val="00C37100"/>
    <w:rsid w:val="00C405B2"/>
    <w:rsid w:val="00C41977"/>
    <w:rsid w:val="00C424FA"/>
    <w:rsid w:val="00C51904"/>
    <w:rsid w:val="00C527C0"/>
    <w:rsid w:val="00C53DFB"/>
    <w:rsid w:val="00C5629F"/>
    <w:rsid w:val="00C62259"/>
    <w:rsid w:val="00C625AA"/>
    <w:rsid w:val="00C654DA"/>
    <w:rsid w:val="00C67ADD"/>
    <w:rsid w:val="00C704A7"/>
    <w:rsid w:val="00C73738"/>
    <w:rsid w:val="00C745C4"/>
    <w:rsid w:val="00C74C3F"/>
    <w:rsid w:val="00C751F9"/>
    <w:rsid w:val="00C77AF7"/>
    <w:rsid w:val="00C80BEC"/>
    <w:rsid w:val="00C8358C"/>
    <w:rsid w:val="00C859C4"/>
    <w:rsid w:val="00C867F4"/>
    <w:rsid w:val="00C871AA"/>
    <w:rsid w:val="00C90EE8"/>
    <w:rsid w:val="00C91C47"/>
    <w:rsid w:val="00C9403E"/>
    <w:rsid w:val="00C9609E"/>
    <w:rsid w:val="00CA08BA"/>
    <w:rsid w:val="00CA1A64"/>
    <w:rsid w:val="00CA695F"/>
    <w:rsid w:val="00CA69C0"/>
    <w:rsid w:val="00CB218F"/>
    <w:rsid w:val="00CB45EE"/>
    <w:rsid w:val="00CB65F8"/>
    <w:rsid w:val="00CB7558"/>
    <w:rsid w:val="00CB75E4"/>
    <w:rsid w:val="00CC0D6F"/>
    <w:rsid w:val="00CC286E"/>
    <w:rsid w:val="00CC39C7"/>
    <w:rsid w:val="00CC557D"/>
    <w:rsid w:val="00CD203F"/>
    <w:rsid w:val="00CD39D4"/>
    <w:rsid w:val="00CE12EB"/>
    <w:rsid w:val="00CE14B6"/>
    <w:rsid w:val="00CE1559"/>
    <w:rsid w:val="00CE5342"/>
    <w:rsid w:val="00CE5FA9"/>
    <w:rsid w:val="00CF15D2"/>
    <w:rsid w:val="00CF1B67"/>
    <w:rsid w:val="00CF2471"/>
    <w:rsid w:val="00CF2738"/>
    <w:rsid w:val="00CF651C"/>
    <w:rsid w:val="00CF77A1"/>
    <w:rsid w:val="00D002A8"/>
    <w:rsid w:val="00D00FDD"/>
    <w:rsid w:val="00D04437"/>
    <w:rsid w:val="00D06EE6"/>
    <w:rsid w:val="00D0741A"/>
    <w:rsid w:val="00D0752C"/>
    <w:rsid w:val="00D07C7F"/>
    <w:rsid w:val="00D11BEA"/>
    <w:rsid w:val="00D11E4B"/>
    <w:rsid w:val="00D120F0"/>
    <w:rsid w:val="00D12B4F"/>
    <w:rsid w:val="00D13B73"/>
    <w:rsid w:val="00D14707"/>
    <w:rsid w:val="00D212CA"/>
    <w:rsid w:val="00D242C5"/>
    <w:rsid w:val="00D251AE"/>
    <w:rsid w:val="00D26D29"/>
    <w:rsid w:val="00D31A10"/>
    <w:rsid w:val="00D323E7"/>
    <w:rsid w:val="00D35A43"/>
    <w:rsid w:val="00D37BBD"/>
    <w:rsid w:val="00D41F27"/>
    <w:rsid w:val="00D42062"/>
    <w:rsid w:val="00D4280D"/>
    <w:rsid w:val="00D4759A"/>
    <w:rsid w:val="00D47919"/>
    <w:rsid w:val="00D50EB8"/>
    <w:rsid w:val="00D5187D"/>
    <w:rsid w:val="00D532DF"/>
    <w:rsid w:val="00D5455C"/>
    <w:rsid w:val="00D55278"/>
    <w:rsid w:val="00D563DE"/>
    <w:rsid w:val="00D57BD5"/>
    <w:rsid w:val="00D60B3B"/>
    <w:rsid w:val="00D6354E"/>
    <w:rsid w:val="00D64678"/>
    <w:rsid w:val="00D6739B"/>
    <w:rsid w:val="00D7320A"/>
    <w:rsid w:val="00D74C2D"/>
    <w:rsid w:val="00D77B44"/>
    <w:rsid w:val="00D81743"/>
    <w:rsid w:val="00D86403"/>
    <w:rsid w:val="00D87FB9"/>
    <w:rsid w:val="00D9193B"/>
    <w:rsid w:val="00D93EEE"/>
    <w:rsid w:val="00D93F6F"/>
    <w:rsid w:val="00D95AEE"/>
    <w:rsid w:val="00D97C6E"/>
    <w:rsid w:val="00D97E7B"/>
    <w:rsid w:val="00DA0FAA"/>
    <w:rsid w:val="00DA5D3D"/>
    <w:rsid w:val="00DA7E07"/>
    <w:rsid w:val="00DB0C96"/>
    <w:rsid w:val="00DB437D"/>
    <w:rsid w:val="00DB474E"/>
    <w:rsid w:val="00DB47F7"/>
    <w:rsid w:val="00DC0D59"/>
    <w:rsid w:val="00DC215E"/>
    <w:rsid w:val="00DC476F"/>
    <w:rsid w:val="00DC62D3"/>
    <w:rsid w:val="00DD1F08"/>
    <w:rsid w:val="00DD2562"/>
    <w:rsid w:val="00DD3973"/>
    <w:rsid w:val="00DD643A"/>
    <w:rsid w:val="00DE0DCC"/>
    <w:rsid w:val="00DE1EB7"/>
    <w:rsid w:val="00DE5F62"/>
    <w:rsid w:val="00DE6BEE"/>
    <w:rsid w:val="00DE6E4D"/>
    <w:rsid w:val="00DF00D4"/>
    <w:rsid w:val="00DF0E0A"/>
    <w:rsid w:val="00DF28BC"/>
    <w:rsid w:val="00DF47D1"/>
    <w:rsid w:val="00DF7E8B"/>
    <w:rsid w:val="00E047A5"/>
    <w:rsid w:val="00E05197"/>
    <w:rsid w:val="00E069D7"/>
    <w:rsid w:val="00E10475"/>
    <w:rsid w:val="00E1058B"/>
    <w:rsid w:val="00E10A8D"/>
    <w:rsid w:val="00E134B7"/>
    <w:rsid w:val="00E144F1"/>
    <w:rsid w:val="00E1536D"/>
    <w:rsid w:val="00E15BF2"/>
    <w:rsid w:val="00E20305"/>
    <w:rsid w:val="00E220F9"/>
    <w:rsid w:val="00E2683F"/>
    <w:rsid w:val="00E30661"/>
    <w:rsid w:val="00E32F6A"/>
    <w:rsid w:val="00E33850"/>
    <w:rsid w:val="00E353F6"/>
    <w:rsid w:val="00E37E95"/>
    <w:rsid w:val="00E42735"/>
    <w:rsid w:val="00E45826"/>
    <w:rsid w:val="00E45FFA"/>
    <w:rsid w:val="00E54D54"/>
    <w:rsid w:val="00E57A46"/>
    <w:rsid w:val="00E60384"/>
    <w:rsid w:val="00E61BE8"/>
    <w:rsid w:val="00E62AB2"/>
    <w:rsid w:val="00E651B7"/>
    <w:rsid w:val="00E66D80"/>
    <w:rsid w:val="00E675A1"/>
    <w:rsid w:val="00E710D4"/>
    <w:rsid w:val="00E715D1"/>
    <w:rsid w:val="00E72BCD"/>
    <w:rsid w:val="00E73525"/>
    <w:rsid w:val="00E74232"/>
    <w:rsid w:val="00E7568F"/>
    <w:rsid w:val="00E75CCF"/>
    <w:rsid w:val="00E82599"/>
    <w:rsid w:val="00E83518"/>
    <w:rsid w:val="00E91289"/>
    <w:rsid w:val="00E92A63"/>
    <w:rsid w:val="00E93D4F"/>
    <w:rsid w:val="00E97CFE"/>
    <w:rsid w:val="00EA0F44"/>
    <w:rsid w:val="00EA3219"/>
    <w:rsid w:val="00EA46AE"/>
    <w:rsid w:val="00EB45EC"/>
    <w:rsid w:val="00EB5D23"/>
    <w:rsid w:val="00EB79A2"/>
    <w:rsid w:val="00EC2397"/>
    <w:rsid w:val="00EC4023"/>
    <w:rsid w:val="00EC4601"/>
    <w:rsid w:val="00EC4F4E"/>
    <w:rsid w:val="00ED1719"/>
    <w:rsid w:val="00ED2CA7"/>
    <w:rsid w:val="00ED5D0C"/>
    <w:rsid w:val="00ED6409"/>
    <w:rsid w:val="00EE3540"/>
    <w:rsid w:val="00EE7294"/>
    <w:rsid w:val="00EF31B9"/>
    <w:rsid w:val="00EF3359"/>
    <w:rsid w:val="00EF53FA"/>
    <w:rsid w:val="00EF5DC6"/>
    <w:rsid w:val="00EF67DF"/>
    <w:rsid w:val="00EF6841"/>
    <w:rsid w:val="00EF764E"/>
    <w:rsid w:val="00F0230D"/>
    <w:rsid w:val="00F02392"/>
    <w:rsid w:val="00F041B3"/>
    <w:rsid w:val="00F10F24"/>
    <w:rsid w:val="00F1302A"/>
    <w:rsid w:val="00F14D9E"/>
    <w:rsid w:val="00F15085"/>
    <w:rsid w:val="00F16756"/>
    <w:rsid w:val="00F2121C"/>
    <w:rsid w:val="00F21AFD"/>
    <w:rsid w:val="00F236DF"/>
    <w:rsid w:val="00F248CA"/>
    <w:rsid w:val="00F26D8D"/>
    <w:rsid w:val="00F310CC"/>
    <w:rsid w:val="00F31DBC"/>
    <w:rsid w:val="00F336B5"/>
    <w:rsid w:val="00F33A55"/>
    <w:rsid w:val="00F40FF0"/>
    <w:rsid w:val="00F422B5"/>
    <w:rsid w:val="00F428EC"/>
    <w:rsid w:val="00F439A3"/>
    <w:rsid w:val="00F45315"/>
    <w:rsid w:val="00F47C1D"/>
    <w:rsid w:val="00F504F9"/>
    <w:rsid w:val="00F51425"/>
    <w:rsid w:val="00F51E0A"/>
    <w:rsid w:val="00F522B1"/>
    <w:rsid w:val="00F53E16"/>
    <w:rsid w:val="00F55A92"/>
    <w:rsid w:val="00F55F46"/>
    <w:rsid w:val="00F56183"/>
    <w:rsid w:val="00F57026"/>
    <w:rsid w:val="00F57510"/>
    <w:rsid w:val="00F579C8"/>
    <w:rsid w:val="00F608F8"/>
    <w:rsid w:val="00F633A1"/>
    <w:rsid w:val="00F64CFE"/>
    <w:rsid w:val="00F70CD4"/>
    <w:rsid w:val="00F72DB3"/>
    <w:rsid w:val="00F73F9D"/>
    <w:rsid w:val="00F76DC5"/>
    <w:rsid w:val="00F77F26"/>
    <w:rsid w:val="00F81FBE"/>
    <w:rsid w:val="00F823FC"/>
    <w:rsid w:val="00F82B5B"/>
    <w:rsid w:val="00F856C6"/>
    <w:rsid w:val="00F87B9B"/>
    <w:rsid w:val="00F87D5B"/>
    <w:rsid w:val="00F906CD"/>
    <w:rsid w:val="00F959F1"/>
    <w:rsid w:val="00F95F90"/>
    <w:rsid w:val="00FA211C"/>
    <w:rsid w:val="00FA28F8"/>
    <w:rsid w:val="00FA70D7"/>
    <w:rsid w:val="00FB35D3"/>
    <w:rsid w:val="00FB4806"/>
    <w:rsid w:val="00FB4AD4"/>
    <w:rsid w:val="00FB4F94"/>
    <w:rsid w:val="00FB5D43"/>
    <w:rsid w:val="00FB71A8"/>
    <w:rsid w:val="00FB7DAD"/>
    <w:rsid w:val="00FC2494"/>
    <w:rsid w:val="00FC3AC2"/>
    <w:rsid w:val="00FD449F"/>
    <w:rsid w:val="00FD56EA"/>
    <w:rsid w:val="00FD5B93"/>
    <w:rsid w:val="00FE0F51"/>
    <w:rsid w:val="00FE3521"/>
    <w:rsid w:val="00FE3CB1"/>
    <w:rsid w:val="00FE4A65"/>
    <w:rsid w:val="00FF12CE"/>
    <w:rsid w:val="00FF48F7"/>
    <w:rsid w:val="00FF666D"/>
    <w:rsid w:val="00FF702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424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nhideWhenUsed="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77F26"/>
    <w:pPr>
      <w:spacing w:after="160" w:line="259" w:lineRule="auto"/>
    </w:pPr>
    <w:rPr>
      <w:rFonts w:cs="Calibri"/>
      <w:sz w:val="22"/>
      <w:szCs w:val="22"/>
      <w:lang w:eastAsia="en-US"/>
    </w:rPr>
  </w:style>
  <w:style w:type="paragraph" w:styleId="Nadpis1">
    <w:name w:val="heading 1"/>
    <w:basedOn w:val="Normlny"/>
    <w:next w:val="Normlny"/>
    <w:link w:val="Nadpis1Char"/>
    <w:qFormat/>
    <w:locked/>
    <w:rsid w:val="006F1BE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uiPriority w:val="99"/>
    <w:qFormat/>
    <w:rsid w:val="007B4D77"/>
    <w:pPr>
      <w:keepNext/>
      <w:keepLines/>
      <w:spacing w:before="40" w:after="0"/>
      <w:outlineLvl w:val="1"/>
    </w:pPr>
    <w:rPr>
      <w:rFonts w:ascii="Calibri Light" w:eastAsia="Times New Roman" w:hAnsi="Calibri Light" w:cs="Calibri Light"/>
      <w:color w:val="2E74B5"/>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link w:val="Nadpis2"/>
    <w:uiPriority w:val="99"/>
    <w:locked/>
    <w:rsid w:val="007B4D77"/>
    <w:rPr>
      <w:rFonts w:ascii="Calibri Light" w:hAnsi="Calibri Light" w:cs="Calibri Light"/>
      <w:color w:val="2E74B5"/>
      <w:sz w:val="26"/>
      <w:szCs w:val="26"/>
    </w:rPr>
  </w:style>
  <w:style w:type="paragraph" w:styleId="Odsekzoznamu">
    <w:name w:val="List Paragraph"/>
    <w:basedOn w:val="Normlny"/>
    <w:uiPriority w:val="34"/>
    <w:qFormat/>
    <w:rsid w:val="00B33A20"/>
    <w:pPr>
      <w:ind w:left="720"/>
    </w:pPr>
  </w:style>
  <w:style w:type="table" w:styleId="Mriekatabuky">
    <w:name w:val="Table Grid"/>
    <w:basedOn w:val="Normlnatabuka"/>
    <w:uiPriority w:val="39"/>
    <w:rsid w:val="00402D54"/>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opis">
    <w:name w:val="caption"/>
    <w:basedOn w:val="Normlny"/>
    <w:next w:val="Normlny"/>
    <w:uiPriority w:val="99"/>
    <w:qFormat/>
    <w:rsid w:val="00BF4BB6"/>
    <w:pPr>
      <w:spacing w:after="200" w:line="240" w:lineRule="auto"/>
    </w:pPr>
    <w:rPr>
      <w:i/>
      <w:iCs/>
      <w:color w:val="44546A"/>
      <w:sz w:val="18"/>
      <w:szCs w:val="18"/>
    </w:rPr>
  </w:style>
  <w:style w:type="paragraph" w:styleId="Zkladntext">
    <w:name w:val="Body Text"/>
    <w:basedOn w:val="Normlny"/>
    <w:link w:val="ZkladntextChar"/>
    <w:uiPriority w:val="99"/>
    <w:rsid w:val="00E651B7"/>
    <w:pPr>
      <w:spacing w:after="120" w:line="240" w:lineRule="auto"/>
    </w:pPr>
    <w:rPr>
      <w:rFonts w:ascii="Times New Roman" w:eastAsia="Times New Roman" w:hAnsi="Times New Roman" w:cs="Times New Roman"/>
      <w:sz w:val="24"/>
      <w:szCs w:val="24"/>
      <w:lang w:eastAsia="sk-SK"/>
    </w:rPr>
  </w:style>
  <w:style w:type="character" w:customStyle="1" w:styleId="ZkladntextChar">
    <w:name w:val="Základný text Char"/>
    <w:link w:val="Zkladntext"/>
    <w:uiPriority w:val="99"/>
    <w:locked/>
    <w:rsid w:val="00E651B7"/>
    <w:rPr>
      <w:rFonts w:ascii="Times New Roman" w:hAnsi="Times New Roman" w:cs="Times New Roman"/>
      <w:sz w:val="24"/>
      <w:szCs w:val="24"/>
      <w:lang w:eastAsia="sk-SK"/>
    </w:rPr>
  </w:style>
  <w:style w:type="paragraph" w:styleId="Zarkazkladnhotextu">
    <w:name w:val="Body Text Indent"/>
    <w:basedOn w:val="Normlny"/>
    <w:link w:val="ZarkazkladnhotextuChar"/>
    <w:uiPriority w:val="99"/>
    <w:rsid w:val="00A1346D"/>
    <w:pPr>
      <w:spacing w:after="120" w:line="240" w:lineRule="auto"/>
      <w:ind w:left="283"/>
    </w:pPr>
    <w:rPr>
      <w:rFonts w:ascii="Times New Roman" w:eastAsia="Times New Roman" w:hAnsi="Times New Roman" w:cs="Times New Roman"/>
      <w:sz w:val="24"/>
      <w:szCs w:val="24"/>
      <w:lang w:eastAsia="sk-SK"/>
    </w:rPr>
  </w:style>
  <w:style w:type="character" w:customStyle="1" w:styleId="ZarkazkladnhotextuChar">
    <w:name w:val="Zarážka základného textu Char"/>
    <w:link w:val="Zarkazkladnhotextu"/>
    <w:uiPriority w:val="99"/>
    <w:locked/>
    <w:rsid w:val="00A1346D"/>
    <w:rPr>
      <w:rFonts w:ascii="Times New Roman" w:hAnsi="Times New Roman" w:cs="Times New Roman"/>
      <w:sz w:val="24"/>
      <w:szCs w:val="24"/>
      <w:lang w:eastAsia="sk-SK"/>
    </w:rPr>
  </w:style>
  <w:style w:type="character" w:styleId="Textzstupnhosymbolu">
    <w:name w:val="Placeholder Text"/>
    <w:uiPriority w:val="99"/>
    <w:semiHidden/>
    <w:rsid w:val="005366AB"/>
    <w:rPr>
      <w:color w:val="808080"/>
    </w:rPr>
  </w:style>
  <w:style w:type="paragraph" w:styleId="Textbubliny">
    <w:name w:val="Balloon Text"/>
    <w:basedOn w:val="Normlny"/>
    <w:link w:val="TextbublinyChar"/>
    <w:uiPriority w:val="99"/>
    <w:semiHidden/>
    <w:unhideWhenUsed/>
    <w:rsid w:val="004D6E2C"/>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4D6E2C"/>
    <w:rPr>
      <w:rFonts w:ascii="Segoe UI" w:hAnsi="Segoe UI" w:cs="Segoe UI"/>
      <w:sz w:val="18"/>
      <w:szCs w:val="18"/>
      <w:lang w:eastAsia="en-US"/>
    </w:rPr>
  </w:style>
  <w:style w:type="paragraph" w:styleId="Hlavika">
    <w:name w:val="header"/>
    <w:basedOn w:val="Normlny"/>
    <w:link w:val="HlavikaChar"/>
    <w:uiPriority w:val="99"/>
    <w:unhideWhenUsed/>
    <w:rsid w:val="009778A8"/>
    <w:pPr>
      <w:tabs>
        <w:tab w:val="center" w:pos="4536"/>
        <w:tab w:val="right" w:pos="9072"/>
      </w:tabs>
    </w:pPr>
  </w:style>
  <w:style w:type="character" w:customStyle="1" w:styleId="HlavikaChar">
    <w:name w:val="Hlavička Char"/>
    <w:link w:val="Hlavika"/>
    <w:uiPriority w:val="99"/>
    <w:rsid w:val="009778A8"/>
    <w:rPr>
      <w:rFonts w:cs="Calibri"/>
      <w:sz w:val="22"/>
      <w:szCs w:val="22"/>
      <w:lang w:eastAsia="en-US"/>
    </w:rPr>
  </w:style>
  <w:style w:type="paragraph" w:styleId="Pta">
    <w:name w:val="footer"/>
    <w:basedOn w:val="Normlny"/>
    <w:link w:val="PtaChar"/>
    <w:uiPriority w:val="99"/>
    <w:unhideWhenUsed/>
    <w:rsid w:val="009778A8"/>
    <w:pPr>
      <w:tabs>
        <w:tab w:val="center" w:pos="4536"/>
        <w:tab w:val="right" w:pos="9072"/>
      </w:tabs>
    </w:pPr>
  </w:style>
  <w:style w:type="character" w:customStyle="1" w:styleId="PtaChar">
    <w:name w:val="Päta Char"/>
    <w:link w:val="Pta"/>
    <w:uiPriority w:val="99"/>
    <w:rsid w:val="009778A8"/>
    <w:rPr>
      <w:rFonts w:cs="Calibri"/>
      <w:sz w:val="22"/>
      <w:szCs w:val="22"/>
      <w:lang w:eastAsia="en-US"/>
    </w:rPr>
  </w:style>
  <w:style w:type="character" w:styleId="Hypertextovprepojenie">
    <w:name w:val="Hyperlink"/>
    <w:basedOn w:val="Predvolenpsmoodseku"/>
    <w:uiPriority w:val="99"/>
    <w:unhideWhenUsed/>
    <w:rsid w:val="0089365E"/>
    <w:rPr>
      <w:color w:val="0000FF" w:themeColor="hyperlink"/>
      <w:u w:val="single"/>
    </w:rPr>
  </w:style>
  <w:style w:type="character" w:customStyle="1" w:styleId="Nadpis1Char">
    <w:name w:val="Nadpis 1 Char"/>
    <w:basedOn w:val="Predvolenpsmoodseku"/>
    <w:link w:val="Nadpis1"/>
    <w:rsid w:val="006F1BEF"/>
    <w:rPr>
      <w:rFonts w:asciiTheme="majorHAnsi" w:eastAsiaTheme="majorEastAsia" w:hAnsiTheme="majorHAnsi" w:cstheme="majorBidi"/>
      <w:color w:val="365F91" w:themeColor="accent1" w:themeShade="BF"/>
      <w:sz w:val="32"/>
      <w:szCs w:val="32"/>
      <w:lang w:eastAsia="en-US"/>
    </w:rPr>
  </w:style>
  <w:style w:type="paragraph" w:styleId="Nzov">
    <w:name w:val="Title"/>
    <w:basedOn w:val="Normlny"/>
    <w:next w:val="Normlny"/>
    <w:link w:val="NzovChar"/>
    <w:qFormat/>
    <w:locked/>
    <w:rsid w:val="00D9193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rsid w:val="00D9193B"/>
    <w:rPr>
      <w:rFonts w:asciiTheme="majorHAnsi" w:eastAsiaTheme="majorEastAsia" w:hAnsiTheme="majorHAnsi" w:cstheme="majorBidi"/>
      <w:color w:val="17365D" w:themeColor="text2" w:themeShade="BF"/>
      <w:spacing w:val="5"/>
      <w:kern w:val="28"/>
      <w:sz w:val="52"/>
      <w:szCs w:val="5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nhideWhenUsed="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77F26"/>
    <w:pPr>
      <w:spacing w:after="160" w:line="259" w:lineRule="auto"/>
    </w:pPr>
    <w:rPr>
      <w:rFonts w:cs="Calibri"/>
      <w:sz w:val="22"/>
      <w:szCs w:val="22"/>
      <w:lang w:eastAsia="en-US"/>
    </w:rPr>
  </w:style>
  <w:style w:type="paragraph" w:styleId="Nadpis1">
    <w:name w:val="heading 1"/>
    <w:basedOn w:val="Normlny"/>
    <w:next w:val="Normlny"/>
    <w:link w:val="Nadpis1Char"/>
    <w:qFormat/>
    <w:locked/>
    <w:rsid w:val="006F1BE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uiPriority w:val="99"/>
    <w:qFormat/>
    <w:rsid w:val="007B4D77"/>
    <w:pPr>
      <w:keepNext/>
      <w:keepLines/>
      <w:spacing w:before="40" w:after="0"/>
      <w:outlineLvl w:val="1"/>
    </w:pPr>
    <w:rPr>
      <w:rFonts w:ascii="Calibri Light" w:eastAsia="Times New Roman" w:hAnsi="Calibri Light" w:cs="Calibri Light"/>
      <w:color w:val="2E74B5"/>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link w:val="Nadpis2"/>
    <w:uiPriority w:val="99"/>
    <w:locked/>
    <w:rsid w:val="007B4D77"/>
    <w:rPr>
      <w:rFonts w:ascii="Calibri Light" w:hAnsi="Calibri Light" w:cs="Calibri Light"/>
      <w:color w:val="2E74B5"/>
      <w:sz w:val="26"/>
      <w:szCs w:val="26"/>
    </w:rPr>
  </w:style>
  <w:style w:type="paragraph" w:styleId="Odsekzoznamu">
    <w:name w:val="List Paragraph"/>
    <w:basedOn w:val="Normlny"/>
    <w:uiPriority w:val="34"/>
    <w:qFormat/>
    <w:rsid w:val="00B33A20"/>
    <w:pPr>
      <w:ind w:left="720"/>
    </w:pPr>
  </w:style>
  <w:style w:type="table" w:styleId="Mriekatabuky">
    <w:name w:val="Table Grid"/>
    <w:basedOn w:val="Normlnatabuka"/>
    <w:uiPriority w:val="39"/>
    <w:rsid w:val="00402D54"/>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opis">
    <w:name w:val="caption"/>
    <w:basedOn w:val="Normlny"/>
    <w:next w:val="Normlny"/>
    <w:uiPriority w:val="99"/>
    <w:qFormat/>
    <w:rsid w:val="00BF4BB6"/>
    <w:pPr>
      <w:spacing w:after="200" w:line="240" w:lineRule="auto"/>
    </w:pPr>
    <w:rPr>
      <w:i/>
      <w:iCs/>
      <w:color w:val="44546A"/>
      <w:sz w:val="18"/>
      <w:szCs w:val="18"/>
    </w:rPr>
  </w:style>
  <w:style w:type="paragraph" w:styleId="Zkladntext">
    <w:name w:val="Body Text"/>
    <w:basedOn w:val="Normlny"/>
    <w:link w:val="ZkladntextChar"/>
    <w:uiPriority w:val="99"/>
    <w:rsid w:val="00E651B7"/>
    <w:pPr>
      <w:spacing w:after="120" w:line="240" w:lineRule="auto"/>
    </w:pPr>
    <w:rPr>
      <w:rFonts w:ascii="Times New Roman" w:eastAsia="Times New Roman" w:hAnsi="Times New Roman" w:cs="Times New Roman"/>
      <w:sz w:val="24"/>
      <w:szCs w:val="24"/>
      <w:lang w:eastAsia="sk-SK"/>
    </w:rPr>
  </w:style>
  <w:style w:type="character" w:customStyle="1" w:styleId="ZkladntextChar">
    <w:name w:val="Základný text Char"/>
    <w:link w:val="Zkladntext"/>
    <w:uiPriority w:val="99"/>
    <w:locked/>
    <w:rsid w:val="00E651B7"/>
    <w:rPr>
      <w:rFonts w:ascii="Times New Roman" w:hAnsi="Times New Roman" w:cs="Times New Roman"/>
      <w:sz w:val="24"/>
      <w:szCs w:val="24"/>
      <w:lang w:eastAsia="sk-SK"/>
    </w:rPr>
  </w:style>
  <w:style w:type="paragraph" w:styleId="Zarkazkladnhotextu">
    <w:name w:val="Body Text Indent"/>
    <w:basedOn w:val="Normlny"/>
    <w:link w:val="ZarkazkladnhotextuChar"/>
    <w:uiPriority w:val="99"/>
    <w:rsid w:val="00A1346D"/>
    <w:pPr>
      <w:spacing w:after="120" w:line="240" w:lineRule="auto"/>
      <w:ind w:left="283"/>
    </w:pPr>
    <w:rPr>
      <w:rFonts w:ascii="Times New Roman" w:eastAsia="Times New Roman" w:hAnsi="Times New Roman" w:cs="Times New Roman"/>
      <w:sz w:val="24"/>
      <w:szCs w:val="24"/>
      <w:lang w:eastAsia="sk-SK"/>
    </w:rPr>
  </w:style>
  <w:style w:type="character" w:customStyle="1" w:styleId="ZarkazkladnhotextuChar">
    <w:name w:val="Zarážka základného textu Char"/>
    <w:link w:val="Zarkazkladnhotextu"/>
    <w:uiPriority w:val="99"/>
    <w:locked/>
    <w:rsid w:val="00A1346D"/>
    <w:rPr>
      <w:rFonts w:ascii="Times New Roman" w:hAnsi="Times New Roman" w:cs="Times New Roman"/>
      <w:sz w:val="24"/>
      <w:szCs w:val="24"/>
      <w:lang w:eastAsia="sk-SK"/>
    </w:rPr>
  </w:style>
  <w:style w:type="character" w:styleId="Textzstupnhosymbolu">
    <w:name w:val="Placeholder Text"/>
    <w:uiPriority w:val="99"/>
    <w:semiHidden/>
    <w:rsid w:val="005366AB"/>
    <w:rPr>
      <w:color w:val="808080"/>
    </w:rPr>
  </w:style>
  <w:style w:type="paragraph" w:styleId="Textbubliny">
    <w:name w:val="Balloon Text"/>
    <w:basedOn w:val="Normlny"/>
    <w:link w:val="TextbublinyChar"/>
    <w:uiPriority w:val="99"/>
    <w:semiHidden/>
    <w:unhideWhenUsed/>
    <w:rsid w:val="004D6E2C"/>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4D6E2C"/>
    <w:rPr>
      <w:rFonts w:ascii="Segoe UI" w:hAnsi="Segoe UI" w:cs="Segoe UI"/>
      <w:sz w:val="18"/>
      <w:szCs w:val="18"/>
      <w:lang w:eastAsia="en-US"/>
    </w:rPr>
  </w:style>
  <w:style w:type="paragraph" w:styleId="Hlavika">
    <w:name w:val="header"/>
    <w:basedOn w:val="Normlny"/>
    <w:link w:val="HlavikaChar"/>
    <w:uiPriority w:val="99"/>
    <w:unhideWhenUsed/>
    <w:rsid w:val="009778A8"/>
    <w:pPr>
      <w:tabs>
        <w:tab w:val="center" w:pos="4536"/>
        <w:tab w:val="right" w:pos="9072"/>
      </w:tabs>
    </w:pPr>
  </w:style>
  <w:style w:type="character" w:customStyle="1" w:styleId="HlavikaChar">
    <w:name w:val="Hlavička Char"/>
    <w:link w:val="Hlavika"/>
    <w:uiPriority w:val="99"/>
    <w:rsid w:val="009778A8"/>
    <w:rPr>
      <w:rFonts w:cs="Calibri"/>
      <w:sz w:val="22"/>
      <w:szCs w:val="22"/>
      <w:lang w:eastAsia="en-US"/>
    </w:rPr>
  </w:style>
  <w:style w:type="paragraph" w:styleId="Pta">
    <w:name w:val="footer"/>
    <w:basedOn w:val="Normlny"/>
    <w:link w:val="PtaChar"/>
    <w:uiPriority w:val="99"/>
    <w:unhideWhenUsed/>
    <w:rsid w:val="009778A8"/>
    <w:pPr>
      <w:tabs>
        <w:tab w:val="center" w:pos="4536"/>
        <w:tab w:val="right" w:pos="9072"/>
      </w:tabs>
    </w:pPr>
  </w:style>
  <w:style w:type="character" w:customStyle="1" w:styleId="PtaChar">
    <w:name w:val="Päta Char"/>
    <w:link w:val="Pta"/>
    <w:uiPriority w:val="99"/>
    <w:rsid w:val="009778A8"/>
    <w:rPr>
      <w:rFonts w:cs="Calibri"/>
      <w:sz w:val="22"/>
      <w:szCs w:val="22"/>
      <w:lang w:eastAsia="en-US"/>
    </w:rPr>
  </w:style>
  <w:style w:type="character" w:styleId="Hypertextovprepojenie">
    <w:name w:val="Hyperlink"/>
    <w:basedOn w:val="Predvolenpsmoodseku"/>
    <w:uiPriority w:val="99"/>
    <w:unhideWhenUsed/>
    <w:rsid w:val="0089365E"/>
    <w:rPr>
      <w:color w:val="0000FF" w:themeColor="hyperlink"/>
      <w:u w:val="single"/>
    </w:rPr>
  </w:style>
  <w:style w:type="character" w:customStyle="1" w:styleId="Nadpis1Char">
    <w:name w:val="Nadpis 1 Char"/>
    <w:basedOn w:val="Predvolenpsmoodseku"/>
    <w:link w:val="Nadpis1"/>
    <w:rsid w:val="006F1BEF"/>
    <w:rPr>
      <w:rFonts w:asciiTheme="majorHAnsi" w:eastAsiaTheme="majorEastAsia" w:hAnsiTheme="majorHAnsi" w:cstheme="majorBidi"/>
      <w:color w:val="365F91" w:themeColor="accent1" w:themeShade="BF"/>
      <w:sz w:val="32"/>
      <w:szCs w:val="32"/>
      <w:lang w:eastAsia="en-US"/>
    </w:rPr>
  </w:style>
  <w:style w:type="paragraph" w:styleId="Nzov">
    <w:name w:val="Title"/>
    <w:basedOn w:val="Normlny"/>
    <w:next w:val="Normlny"/>
    <w:link w:val="NzovChar"/>
    <w:qFormat/>
    <w:locked/>
    <w:rsid w:val="00D9193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rsid w:val="00D9193B"/>
    <w:rPr>
      <w:rFonts w:asciiTheme="majorHAnsi" w:eastAsiaTheme="majorEastAsia" w:hAnsiTheme="majorHAnsi" w:cstheme="majorBidi"/>
      <w:color w:val="17365D" w:themeColor="text2" w:themeShade="BF"/>
      <w:spacing w:val="5"/>
      <w:kern w:val="28"/>
      <w:sz w:val="52"/>
      <w:szCs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15184">
      <w:marLeft w:val="0"/>
      <w:marRight w:val="0"/>
      <w:marTop w:val="0"/>
      <w:marBottom w:val="0"/>
      <w:divBdr>
        <w:top w:val="none" w:sz="0" w:space="0" w:color="auto"/>
        <w:left w:val="none" w:sz="0" w:space="0" w:color="auto"/>
        <w:bottom w:val="none" w:sz="0" w:space="0" w:color="auto"/>
        <w:right w:val="none" w:sz="0" w:space="0" w:color="auto"/>
      </w:divBdr>
    </w:div>
    <w:div w:id="25915185">
      <w:marLeft w:val="0"/>
      <w:marRight w:val="0"/>
      <w:marTop w:val="0"/>
      <w:marBottom w:val="0"/>
      <w:divBdr>
        <w:top w:val="none" w:sz="0" w:space="0" w:color="auto"/>
        <w:left w:val="none" w:sz="0" w:space="0" w:color="auto"/>
        <w:bottom w:val="none" w:sz="0" w:space="0" w:color="auto"/>
        <w:right w:val="none" w:sz="0" w:space="0" w:color="auto"/>
      </w:divBdr>
    </w:div>
    <w:div w:id="25915186">
      <w:marLeft w:val="0"/>
      <w:marRight w:val="0"/>
      <w:marTop w:val="0"/>
      <w:marBottom w:val="0"/>
      <w:divBdr>
        <w:top w:val="none" w:sz="0" w:space="0" w:color="auto"/>
        <w:left w:val="none" w:sz="0" w:space="0" w:color="auto"/>
        <w:bottom w:val="none" w:sz="0" w:space="0" w:color="auto"/>
        <w:right w:val="none" w:sz="0" w:space="0" w:color="auto"/>
      </w:divBdr>
    </w:div>
    <w:div w:id="25915187">
      <w:marLeft w:val="0"/>
      <w:marRight w:val="0"/>
      <w:marTop w:val="0"/>
      <w:marBottom w:val="0"/>
      <w:divBdr>
        <w:top w:val="none" w:sz="0" w:space="0" w:color="auto"/>
        <w:left w:val="none" w:sz="0" w:space="0" w:color="auto"/>
        <w:bottom w:val="none" w:sz="0" w:space="0" w:color="auto"/>
        <w:right w:val="none" w:sz="0" w:space="0" w:color="auto"/>
      </w:divBdr>
    </w:div>
    <w:div w:id="25915188">
      <w:marLeft w:val="0"/>
      <w:marRight w:val="0"/>
      <w:marTop w:val="0"/>
      <w:marBottom w:val="0"/>
      <w:divBdr>
        <w:top w:val="none" w:sz="0" w:space="0" w:color="auto"/>
        <w:left w:val="none" w:sz="0" w:space="0" w:color="auto"/>
        <w:bottom w:val="none" w:sz="0" w:space="0" w:color="auto"/>
        <w:right w:val="none" w:sz="0" w:space="0" w:color="auto"/>
      </w:divBdr>
    </w:div>
    <w:div w:id="25915189">
      <w:marLeft w:val="0"/>
      <w:marRight w:val="0"/>
      <w:marTop w:val="0"/>
      <w:marBottom w:val="0"/>
      <w:divBdr>
        <w:top w:val="none" w:sz="0" w:space="0" w:color="auto"/>
        <w:left w:val="none" w:sz="0" w:space="0" w:color="auto"/>
        <w:bottom w:val="none" w:sz="0" w:space="0" w:color="auto"/>
        <w:right w:val="none" w:sz="0" w:space="0" w:color="auto"/>
      </w:divBdr>
    </w:div>
    <w:div w:id="25915190">
      <w:marLeft w:val="0"/>
      <w:marRight w:val="0"/>
      <w:marTop w:val="0"/>
      <w:marBottom w:val="0"/>
      <w:divBdr>
        <w:top w:val="none" w:sz="0" w:space="0" w:color="auto"/>
        <w:left w:val="none" w:sz="0" w:space="0" w:color="auto"/>
        <w:bottom w:val="none" w:sz="0" w:space="0" w:color="auto"/>
        <w:right w:val="none" w:sz="0" w:space="0" w:color="auto"/>
      </w:divBdr>
    </w:div>
    <w:div w:id="25915191">
      <w:marLeft w:val="0"/>
      <w:marRight w:val="0"/>
      <w:marTop w:val="0"/>
      <w:marBottom w:val="0"/>
      <w:divBdr>
        <w:top w:val="none" w:sz="0" w:space="0" w:color="auto"/>
        <w:left w:val="none" w:sz="0" w:space="0" w:color="auto"/>
        <w:bottom w:val="none" w:sz="0" w:space="0" w:color="auto"/>
        <w:right w:val="none" w:sz="0" w:space="0" w:color="auto"/>
      </w:divBdr>
    </w:div>
    <w:div w:id="25915192">
      <w:marLeft w:val="0"/>
      <w:marRight w:val="0"/>
      <w:marTop w:val="0"/>
      <w:marBottom w:val="0"/>
      <w:divBdr>
        <w:top w:val="none" w:sz="0" w:space="0" w:color="auto"/>
        <w:left w:val="none" w:sz="0" w:space="0" w:color="auto"/>
        <w:bottom w:val="none" w:sz="0" w:space="0" w:color="auto"/>
        <w:right w:val="none" w:sz="0" w:space="0" w:color="auto"/>
      </w:divBdr>
    </w:div>
    <w:div w:id="25915193">
      <w:marLeft w:val="0"/>
      <w:marRight w:val="0"/>
      <w:marTop w:val="0"/>
      <w:marBottom w:val="0"/>
      <w:divBdr>
        <w:top w:val="none" w:sz="0" w:space="0" w:color="auto"/>
        <w:left w:val="none" w:sz="0" w:space="0" w:color="auto"/>
        <w:bottom w:val="none" w:sz="0" w:space="0" w:color="auto"/>
        <w:right w:val="none" w:sz="0" w:space="0" w:color="auto"/>
      </w:divBdr>
    </w:div>
    <w:div w:id="25915194">
      <w:marLeft w:val="0"/>
      <w:marRight w:val="0"/>
      <w:marTop w:val="0"/>
      <w:marBottom w:val="0"/>
      <w:divBdr>
        <w:top w:val="none" w:sz="0" w:space="0" w:color="auto"/>
        <w:left w:val="none" w:sz="0" w:space="0" w:color="auto"/>
        <w:bottom w:val="none" w:sz="0" w:space="0" w:color="auto"/>
        <w:right w:val="none" w:sz="0" w:space="0" w:color="auto"/>
      </w:divBdr>
    </w:div>
    <w:div w:id="25915195">
      <w:marLeft w:val="0"/>
      <w:marRight w:val="0"/>
      <w:marTop w:val="0"/>
      <w:marBottom w:val="0"/>
      <w:divBdr>
        <w:top w:val="none" w:sz="0" w:space="0" w:color="auto"/>
        <w:left w:val="none" w:sz="0" w:space="0" w:color="auto"/>
        <w:bottom w:val="none" w:sz="0" w:space="0" w:color="auto"/>
        <w:right w:val="none" w:sz="0" w:space="0" w:color="auto"/>
      </w:divBdr>
    </w:div>
    <w:div w:id="25915196">
      <w:marLeft w:val="0"/>
      <w:marRight w:val="0"/>
      <w:marTop w:val="0"/>
      <w:marBottom w:val="0"/>
      <w:divBdr>
        <w:top w:val="none" w:sz="0" w:space="0" w:color="auto"/>
        <w:left w:val="none" w:sz="0" w:space="0" w:color="auto"/>
        <w:bottom w:val="none" w:sz="0" w:space="0" w:color="auto"/>
        <w:right w:val="none" w:sz="0" w:space="0" w:color="auto"/>
      </w:divBdr>
    </w:div>
    <w:div w:id="25915197">
      <w:marLeft w:val="0"/>
      <w:marRight w:val="0"/>
      <w:marTop w:val="0"/>
      <w:marBottom w:val="0"/>
      <w:divBdr>
        <w:top w:val="none" w:sz="0" w:space="0" w:color="auto"/>
        <w:left w:val="none" w:sz="0" w:space="0" w:color="auto"/>
        <w:bottom w:val="none" w:sz="0" w:space="0" w:color="auto"/>
        <w:right w:val="none" w:sz="0" w:space="0" w:color="auto"/>
      </w:divBdr>
    </w:div>
    <w:div w:id="25915198">
      <w:marLeft w:val="0"/>
      <w:marRight w:val="0"/>
      <w:marTop w:val="0"/>
      <w:marBottom w:val="0"/>
      <w:divBdr>
        <w:top w:val="none" w:sz="0" w:space="0" w:color="auto"/>
        <w:left w:val="none" w:sz="0" w:space="0" w:color="auto"/>
        <w:bottom w:val="none" w:sz="0" w:space="0" w:color="auto"/>
        <w:right w:val="none" w:sz="0" w:space="0" w:color="auto"/>
      </w:divBdr>
    </w:div>
    <w:div w:id="25915199">
      <w:marLeft w:val="0"/>
      <w:marRight w:val="0"/>
      <w:marTop w:val="0"/>
      <w:marBottom w:val="0"/>
      <w:divBdr>
        <w:top w:val="none" w:sz="0" w:space="0" w:color="auto"/>
        <w:left w:val="none" w:sz="0" w:space="0" w:color="auto"/>
        <w:bottom w:val="none" w:sz="0" w:space="0" w:color="auto"/>
        <w:right w:val="none" w:sz="0" w:space="0" w:color="auto"/>
      </w:divBdr>
    </w:div>
    <w:div w:id="25915200">
      <w:marLeft w:val="0"/>
      <w:marRight w:val="0"/>
      <w:marTop w:val="0"/>
      <w:marBottom w:val="0"/>
      <w:divBdr>
        <w:top w:val="none" w:sz="0" w:space="0" w:color="auto"/>
        <w:left w:val="none" w:sz="0" w:space="0" w:color="auto"/>
        <w:bottom w:val="none" w:sz="0" w:space="0" w:color="auto"/>
        <w:right w:val="none" w:sz="0" w:space="0" w:color="auto"/>
      </w:divBdr>
    </w:div>
    <w:div w:id="25915201">
      <w:marLeft w:val="0"/>
      <w:marRight w:val="0"/>
      <w:marTop w:val="0"/>
      <w:marBottom w:val="0"/>
      <w:divBdr>
        <w:top w:val="none" w:sz="0" w:space="0" w:color="auto"/>
        <w:left w:val="none" w:sz="0" w:space="0" w:color="auto"/>
        <w:bottom w:val="none" w:sz="0" w:space="0" w:color="auto"/>
        <w:right w:val="none" w:sz="0" w:space="0" w:color="auto"/>
      </w:divBdr>
    </w:div>
    <w:div w:id="492335563">
      <w:bodyDiv w:val="1"/>
      <w:marLeft w:val="0"/>
      <w:marRight w:val="0"/>
      <w:marTop w:val="0"/>
      <w:marBottom w:val="0"/>
      <w:divBdr>
        <w:top w:val="none" w:sz="0" w:space="0" w:color="auto"/>
        <w:left w:val="none" w:sz="0" w:space="0" w:color="auto"/>
        <w:bottom w:val="none" w:sz="0" w:space="0" w:color="auto"/>
        <w:right w:val="none" w:sz="0" w:space="0" w:color="auto"/>
      </w:divBdr>
    </w:div>
    <w:div w:id="2116634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C7B7D6-D45E-4D6D-8C80-6DDD2B706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3217</TotalTime>
  <Pages>6</Pages>
  <Words>2610</Words>
  <Characters>15032</Characters>
  <Application>Microsoft Office Word</Application>
  <DocSecurity>0</DocSecurity>
  <Lines>125</Lines>
  <Paragraphs>35</Paragraphs>
  <ScaleCrop>false</ScaleCrop>
  <HeadingPairs>
    <vt:vector size="2" baseType="variant">
      <vt:variant>
        <vt:lpstr>Názov</vt:lpstr>
      </vt:variant>
      <vt:variant>
        <vt:i4>1</vt:i4>
      </vt:variant>
    </vt:vector>
  </HeadingPairs>
  <TitlesOfParts>
    <vt:vector size="1" baseType="lpstr">
      <vt:lpstr/>
    </vt:vector>
  </TitlesOfParts>
  <Company>TU Zvolen</Company>
  <LinksUpToDate>false</LinksUpToDate>
  <CharactersWithSpaces>17607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dc:creator>
  <cp:keywords/>
  <dc:description/>
  <cp:lastModifiedBy>Tomáš Petrik</cp:lastModifiedBy>
  <cp:revision>116</cp:revision>
  <cp:lastPrinted>2017-08-15T13:18:00Z</cp:lastPrinted>
  <dcterms:created xsi:type="dcterms:W3CDTF">2014-07-31T12:43:00Z</dcterms:created>
  <dcterms:modified xsi:type="dcterms:W3CDTF">2022-06-28T09:25:00Z</dcterms:modified>
</cp:coreProperties>
</file>